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04AE" w14:textId="1F00F5FD" w:rsidR="00235F7A" w:rsidRPr="000751FD" w:rsidRDefault="000751FD" w:rsidP="000751FD">
      <w:pPr>
        <w:tabs>
          <w:tab w:val="left" w:pos="5445"/>
          <w:tab w:val="left" w:pos="6690"/>
        </w:tabs>
      </w:pPr>
      <w:r w:rsidRPr="00DA2EB8">
        <w:rPr>
          <w:noProof/>
          <w:color w:val="DBEFF1" w:themeColor="accent4" w:themeTint="33"/>
          <w:lang w:val="en-US"/>
        </w:rPr>
        <mc:AlternateContent>
          <mc:Choice Requires="wps">
            <w:drawing>
              <wp:anchor distT="0" distB="0" distL="114300" distR="114300" simplePos="0" relativeHeight="251658241" behindDoc="1" locked="0" layoutInCell="1" allowOverlap="1" wp14:anchorId="2ED365B1" wp14:editId="2ECB9FEE">
                <wp:simplePos x="0" y="0"/>
                <wp:positionH relativeFrom="page">
                  <wp:align>right</wp:align>
                </wp:positionH>
                <wp:positionV relativeFrom="paragraph">
                  <wp:posOffset>32385</wp:posOffset>
                </wp:positionV>
                <wp:extent cx="7594600" cy="7542132"/>
                <wp:effectExtent l="0" t="0" r="0" b="1905"/>
                <wp:wrapNone/>
                <wp:docPr id="6" name="Rectangle 6"/>
                <wp:cNvGraphicFramePr/>
                <a:graphic xmlns:a="http://schemas.openxmlformats.org/drawingml/2006/main">
                  <a:graphicData uri="http://schemas.microsoft.com/office/word/2010/wordprocessingShape">
                    <wps:wsp>
                      <wps:cNvSpPr/>
                      <wps:spPr>
                        <a:xfrm>
                          <a:off x="0" y="0"/>
                          <a:ext cx="7594600" cy="7542132"/>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48055F">
              <v:rect id="Rectangle 6" style="position:absolute;margin-left:546.8pt;margin-top:2.55pt;width:598pt;height:593.8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dbeff1 [663]" stroked="f" strokeweight="1pt" w14:anchorId="534E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">
                <w10:wrap anchorx="page"/>
              </v:rect>
            </w:pict>
          </mc:Fallback>
        </mc:AlternateContent>
      </w:r>
      <w:r w:rsidR="00027FD2">
        <w:rPr>
          <w:noProof/>
        </w:rPr>
        <w:drawing>
          <wp:anchor distT="0" distB="0" distL="114300" distR="114300" simplePos="0" relativeHeight="251658240" behindDoc="0" locked="0" layoutInCell="1" allowOverlap="1" wp14:anchorId="11B0C9AF" wp14:editId="2A6930CB">
            <wp:simplePos x="0" y="0"/>
            <wp:positionH relativeFrom="page">
              <wp:align>right</wp:align>
            </wp:positionH>
            <wp:positionV relativeFrom="paragraph">
              <wp:posOffset>0</wp:posOffset>
            </wp:positionV>
            <wp:extent cx="7554725" cy="942975"/>
            <wp:effectExtent l="0" t="0" r="8255" b="0"/>
            <wp:wrapSquare wrapText="bothSides"/>
            <wp:docPr id="12310652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65270" name="Picture 1"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4725" cy="942975"/>
                    </a:xfrm>
                    <a:prstGeom prst="rect">
                      <a:avLst/>
                    </a:prstGeom>
                  </pic:spPr>
                </pic:pic>
              </a:graphicData>
            </a:graphic>
            <wp14:sizeRelH relativeFrom="margin">
              <wp14:pctWidth>0</wp14:pctWidth>
            </wp14:sizeRelH>
            <wp14:sizeRelV relativeFrom="margin">
              <wp14:pctHeight>0</wp14:pctHeight>
            </wp14:sizeRelV>
          </wp:anchor>
        </w:drawing>
      </w:r>
    </w:p>
    <w:p w14:paraId="6857F9E3" w14:textId="13447445" w:rsidR="004646E9" w:rsidRPr="004646E9" w:rsidRDefault="004646E9" w:rsidP="568FBF53">
      <w:pPr>
        <w:rPr>
          <w:b/>
          <w:bCs/>
          <w:color w:val="194869" w:themeColor="accent1"/>
          <w:sz w:val="72"/>
          <w:szCs w:val="72"/>
        </w:rPr>
      </w:pPr>
      <w:r w:rsidRPr="568FBF53">
        <w:rPr>
          <w:b/>
          <w:bCs/>
          <w:color w:val="194869" w:themeColor="accent1"/>
          <w:sz w:val="72"/>
          <w:szCs w:val="72"/>
        </w:rPr>
        <w:t>SDG INDICATOR 6.5.1: MONITORING GUIDE</w:t>
      </w:r>
    </w:p>
    <w:p w14:paraId="56FE72EA" w14:textId="2C5B6856" w:rsidR="00A43F19" w:rsidRPr="004646E9" w:rsidRDefault="004646E9" w:rsidP="00FB0CC9">
      <w:pPr>
        <w:spacing w:before="240" w:after="240"/>
        <w:rPr>
          <w:color w:val="FFFFFF" w:themeColor="background1"/>
          <w:sz w:val="18"/>
          <w:szCs w:val="18"/>
        </w:rPr>
      </w:pPr>
      <w:r w:rsidRPr="568FBF53">
        <w:rPr>
          <w:b/>
          <w:bCs/>
          <w:color w:val="20A6CA" w:themeColor="accent2"/>
          <w:sz w:val="48"/>
          <w:szCs w:val="48"/>
        </w:rPr>
        <w:t>DEGREE OF INTEGRATED WATER RESOURCES MANAGEMENT (IWRM) IMPLEMENTATION</w:t>
      </w:r>
    </w:p>
    <w:p w14:paraId="062C7CED" w14:textId="3FDAF0D7" w:rsidR="00844946" w:rsidRPr="000753E2" w:rsidRDefault="00844946" w:rsidP="568FBF53">
      <w:pPr>
        <w:rPr>
          <w:color w:val="FFFFFF" w:themeColor="background1"/>
          <w:sz w:val="28"/>
          <w:szCs w:val="28"/>
        </w:rPr>
      </w:pPr>
    </w:p>
    <w:p w14:paraId="5A8BF614" w14:textId="1A6D36AC" w:rsidR="00844946" w:rsidRPr="000753E2" w:rsidRDefault="00844946" w:rsidP="568FBF53">
      <w:pPr>
        <w:rPr>
          <w:color w:val="FFFFFF" w:themeColor="background1"/>
          <w:sz w:val="28"/>
          <w:szCs w:val="28"/>
        </w:rPr>
      </w:pPr>
    </w:p>
    <w:sdt>
      <w:sdtPr>
        <w:rPr>
          <w:rFonts w:asciiTheme="minorHAnsi" w:eastAsiaTheme="minorEastAsia" w:hAnsiTheme="minorHAnsi" w:cstheme="minorBidi"/>
          <w:b w:val="0"/>
          <w:bCs w:val="0"/>
          <w:color w:val="auto"/>
          <w:sz w:val="24"/>
          <w:szCs w:val="24"/>
          <w:lang w:val="en-GB"/>
        </w:rPr>
        <w:id w:val="1244152419"/>
        <w:docPartObj>
          <w:docPartGallery w:val="Table of Contents"/>
          <w:docPartUnique/>
        </w:docPartObj>
      </w:sdtPr>
      <w:sdtEndPr/>
      <w:sdtContent>
        <w:p w14:paraId="3D29C507" w14:textId="37E0E86A" w:rsidR="00E56EE9" w:rsidRDefault="00E56EE9">
          <w:pPr>
            <w:pStyle w:val="TOCHeading"/>
          </w:pPr>
          <w:r>
            <w:t>Table of Contents</w:t>
          </w:r>
        </w:p>
        <w:p w14:paraId="723F3FEF" w14:textId="5BA7F84C" w:rsidR="00A31340" w:rsidRDefault="00E56EE9">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r>
            <w:rPr>
              <w:b w:val="0"/>
              <w:bCs w:val="0"/>
            </w:rPr>
            <w:fldChar w:fldCharType="begin"/>
          </w:r>
          <w:r>
            <w:instrText xml:space="preserve"> TOC \o "1-3" \h \z \u </w:instrText>
          </w:r>
          <w:r>
            <w:rPr>
              <w:b w:val="0"/>
              <w:bCs w:val="0"/>
            </w:rPr>
            <w:fldChar w:fldCharType="separate"/>
          </w:r>
          <w:hyperlink w:anchor="_Toc219452822" w:history="1">
            <w:r w:rsidR="00A31340" w:rsidRPr="00CB1421">
              <w:rPr>
                <w:rStyle w:val="Hyperlink"/>
                <w:noProof/>
              </w:rPr>
              <w:t>1</w:t>
            </w:r>
            <w:r w:rsidR="00A31340">
              <w:rPr>
                <w:rFonts w:eastAsiaTheme="minorEastAsia" w:cstheme="minorBidi"/>
                <w:b w:val="0"/>
                <w:bCs w:val="0"/>
                <w:i w:val="0"/>
                <w:iCs w:val="0"/>
                <w:noProof/>
                <w:kern w:val="2"/>
                <w:szCs w:val="24"/>
                <w:lang w:eastAsia="zh-TW"/>
                <w14:ligatures w14:val="standardContextual"/>
              </w:rPr>
              <w:tab/>
            </w:r>
            <w:r w:rsidR="00A31340" w:rsidRPr="00CB1421">
              <w:rPr>
                <w:rStyle w:val="Hyperlink"/>
                <w:noProof/>
              </w:rPr>
              <w:t>ROLES AND RESPONSIBILITIES: FOCAL POINTS</w:t>
            </w:r>
            <w:r w:rsidR="00A31340">
              <w:rPr>
                <w:noProof/>
                <w:webHidden/>
              </w:rPr>
              <w:tab/>
            </w:r>
            <w:r w:rsidR="00A31340">
              <w:rPr>
                <w:noProof/>
                <w:webHidden/>
              </w:rPr>
              <w:fldChar w:fldCharType="begin"/>
            </w:r>
            <w:r w:rsidR="00A31340">
              <w:rPr>
                <w:noProof/>
                <w:webHidden/>
              </w:rPr>
              <w:instrText xml:space="preserve"> PAGEREF _Toc219452822 \h </w:instrText>
            </w:r>
            <w:r w:rsidR="00A31340">
              <w:rPr>
                <w:noProof/>
                <w:webHidden/>
              </w:rPr>
            </w:r>
            <w:r w:rsidR="00A31340">
              <w:rPr>
                <w:noProof/>
                <w:webHidden/>
              </w:rPr>
              <w:fldChar w:fldCharType="separate"/>
            </w:r>
            <w:r w:rsidR="00A31340">
              <w:rPr>
                <w:noProof/>
                <w:webHidden/>
              </w:rPr>
              <w:t>1</w:t>
            </w:r>
            <w:r w:rsidR="00A31340">
              <w:rPr>
                <w:noProof/>
                <w:webHidden/>
              </w:rPr>
              <w:fldChar w:fldCharType="end"/>
            </w:r>
          </w:hyperlink>
        </w:p>
        <w:p w14:paraId="7F849F31" w14:textId="0D9AA6F4" w:rsidR="00A31340" w:rsidRDefault="00A31340">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hyperlink w:anchor="_Toc219452823" w:history="1">
            <w:r w:rsidRPr="00CB1421">
              <w:rPr>
                <w:rStyle w:val="Hyperlink"/>
                <w:noProof/>
              </w:rPr>
              <w:t>2</w:t>
            </w:r>
            <w:r>
              <w:rPr>
                <w:rFonts w:eastAsiaTheme="minorEastAsia" w:cstheme="minorBidi"/>
                <w:b w:val="0"/>
                <w:bCs w:val="0"/>
                <w:i w:val="0"/>
                <w:iCs w:val="0"/>
                <w:noProof/>
                <w:kern w:val="2"/>
                <w:szCs w:val="24"/>
                <w:lang w:eastAsia="zh-TW"/>
                <w14:ligatures w14:val="standardContextual"/>
              </w:rPr>
              <w:tab/>
            </w:r>
            <w:r w:rsidRPr="00CB1421">
              <w:rPr>
                <w:rStyle w:val="Hyperlink"/>
                <w:noProof/>
              </w:rPr>
              <w:t>AVAILABLE SUPPORT</w:t>
            </w:r>
            <w:r>
              <w:rPr>
                <w:noProof/>
                <w:webHidden/>
              </w:rPr>
              <w:tab/>
            </w:r>
            <w:r>
              <w:rPr>
                <w:noProof/>
                <w:webHidden/>
              </w:rPr>
              <w:fldChar w:fldCharType="begin"/>
            </w:r>
            <w:r>
              <w:rPr>
                <w:noProof/>
                <w:webHidden/>
              </w:rPr>
              <w:instrText xml:space="preserve"> PAGEREF _Toc219452823 \h </w:instrText>
            </w:r>
            <w:r>
              <w:rPr>
                <w:noProof/>
                <w:webHidden/>
              </w:rPr>
            </w:r>
            <w:r>
              <w:rPr>
                <w:noProof/>
                <w:webHidden/>
              </w:rPr>
              <w:fldChar w:fldCharType="separate"/>
            </w:r>
            <w:r>
              <w:rPr>
                <w:noProof/>
                <w:webHidden/>
              </w:rPr>
              <w:t>1</w:t>
            </w:r>
            <w:r>
              <w:rPr>
                <w:noProof/>
                <w:webHidden/>
              </w:rPr>
              <w:fldChar w:fldCharType="end"/>
            </w:r>
          </w:hyperlink>
        </w:p>
        <w:p w14:paraId="1DDC263F" w14:textId="7FA4EA9A" w:rsidR="00A31340" w:rsidRDefault="00A31340">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hyperlink w:anchor="_Toc219452824" w:history="1">
            <w:r w:rsidRPr="00CB1421">
              <w:rPr>
                <w:rStyle w:val="Hyperlink"/>
                <w:noProof/>
              </w:rPr>
              <w:t>3</w:t>
            </w:r>
            <w:r>
              <w:rPr>
                <w:rFonts w:eastAsiaTheme="minorEastAsia" w:cstheme="minorBidi"/>
                <w:b w:val="0"/>
                <w:bCs w:val="0"/>
                <w:i w:val="0"/>
                <w:iCs w:val="0"/>
                <w:noProof/>
                <w:kern w:val="2"/>
                <w:szCs w:val="24"/>
                <w:lang w:eastAsia="zh-TW"/>
                <w14:ligatures w14:val="standardContextual"/>
              </w:rPr>
              <w:tab/>
            </w:r>
            <w:r w:rsidRPr="00CB1421">
              <w:rPr>
                <w:rStyle w:val="Hyperlink"/>
                <w:noProof/>
              </w:rPr>
              <w:t>STAKEHOLDER CONSULTATION PROCESS</w:t>
            </w:r>
            <w:r>
              <w:rPr>
                <w:noProof/>
                <w:webHidden/>
              </w:rPr>
              <w:tab/>
            </w:r>
            <w:r>
              <w:rPr>
                <w:noProof/>
                <w:webHidden/>
              </w:rPr>
              <w:fldChar w:fldCharType="begin"/>
            </w:r>
            <w:r>
              <w:rPr>
                <w:noProof/>
                <w:webHidden/>
              </w:rPr>
              <w:instrText xml:space="preserve"> PAGEREF _Toc219452824 \h </w:instrText>
            </w:r>
            <w:r>
              <w:rPr>
                <w:noProof/>
                <w:webHidden/>
              </w:rPr>
            </w:r>
            <w:r>
              <w:rPr>
                <w:noProof/>
                <w:webHidden/>
              </w:rPr>
              <w:fldChar w:fldCharType="separate"/>
            </w:r>
            <w:r>
              <w:rPr>
                <w:noProof/>
                <w:webHidden/>
              </w:rPr>
              <w:t>1</w:t>
            </w:r>
            <w:r>
              <w:rPr>
                <w:noProof/>
                <w:webHidden/>
              </w:rPr>
              <w:fldChar w:fldCharType="end"/>
            </w:r>
          </w:hyperlink>
        </w:p>
        <w:p w14:paraId="21B3F3B7" w14:textId="6329B881" w:rsidR="00A31340" w:rsidRDefault="00A31340">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hyperlink w:anchor="_Toc219452825" w:history="1">
            <w:r w:rsidRPr="00CB1421">
              <w:rPr>
                <w:rStyle w:val="Hyperlink"/>
                <w:noProof/>
              </w:rPr>
              <w:t>4</w:t>
            </w:r>
            <w:r>
              <w:rPr>
                <w:rFonts w:eastAsiaTheme="minorEastAsia" w:cstheme="minorBidi"/>
                <w:b w:val="0"/>
                <w:bCs w:val="0"/>
                <w:i w:val="0"/>
                <w:iCs w:val="0"/>
                <w:noProof/>
                <w:kern w:val="2"/>
                <w:szCs w:val="24"/>
                <w:lang w:eastAsia="zh-TW"/>
                <w14:ligatures w14:val="standardContextual"/>
              </w:rPr>
              <w:tab/>
            </w:r>
            <w:r w:rsidRPr="00CB1421">
              <w:rPr>
                <w:rStyle w:val="Hyperlink"/>
                <w:noProof/>
              </w:rPr>
              <w:t>SURVEY OVERVIEW AND UPDATING THE SURVEY</w:t>
            </w:r>
            <w:r>
              <w:rPr>
                <w:noProof/>
                <w:webHidden/>
              </w:rPr>
              <w:tab/>
            </w:r>
            <w:r>
              <w:rPr>
                <w:noProof/>
                <w:webHidden/>
              </w:rPr>
              <w:fldChar w:fldCharType="begin"/>
            </w:r>
            <w:r>
              <w:rPr>
                <w:noProof/>
                <w:webHidden/>
              </w:rPr>
              <w:instrText xml:space="preserve"> PAGEREF _Toc219452825 \h </w:instrText>
            </w:r>
            <w:r>
              <w:rPr>
                <w:noProof/>
                <w:webHidden/>
              </w:rPr>
            </w:r>
            <w:r>
              <w:rPr>
                <w:noProof/>
                <w:webHidden/>
              </w:rPr>
              <w:fldChar w:fldCharType="separate"/>
            </w:r>
            <w:r>
              <w:rPr>
                <w:noProof/>
                <w:webHidden/>
              </w:rPr>
              <w:t>3</w:t>
            </w:r>
            <w:r>
              <w:rPr>
                <w:noProof/>
                <w:webHidden/>
              </w:rPr>
              <w:fldChar w:fldCharType="end"/>
            </w:r>
          </w:hyperlink>
        </w:p>
        <w:p w14:paraId="0F996922" w14:textId="31EC0386" w:rsidR="00A31340" w:rsidRDefault="00A31340">
          <w:pPr>
            <w:pStyle w:val="TOC2"/>
            <w:tabs>
              <w:tab w:val="left" w:pos="960"/>
              <w:tab w:val="right" w:leader="dot" w:pos="9016"/>
            </w:tabs>
            <w:rPr>
              <w:rFonts w:eastAsiaTheme="minorEastAsia" w:cstheme="minorBidi"/>
              <w:b w:val="0"/>
              <w:bCs w:val="0"/>
              <w:noProof/>
              <w:kern w:val="2"/>
              <w:sz w:val="24"/>
              <w:szCs w:val="24"/>
              <w:lang w:eastAsia="zh-TW"/>
              <w14:ligatures w14:val="standardContextual"/>
            </w:rPr>
          </w:pPr>
          <w:hyperlink w:anchor="_Toc219452826" w:history="1">
            <w:r w:rsidRPr="00CB1421">
              <w:rPr>
                <w:rStyle w:val="Hyperlink"/>
                <w:noProof/>
                <w:lang w:val="en-MY"/>
              </w:rPr>
              <w:t>4.1</w:t>
            </w:r>
            <w:r>
              <w:rPr>
                <w:rFonts w:eastAsiaTheme="minorEastAsia" w:cstheme="minorBidi"/>
                <w:b w:val="0"/>
                <w:bCs w:val="0"/>
                <w:noProof/>
                <w:kern w:val="2"/>
                <w:sz w:val="24"/>
                <w:szCs w:val="24"/>
                <w:lang w:eastAsia="zh-TW"/>
                <w14:ligatures w14:val="standardContextual"/>
              </w:rPr>
              <w:tab/>
            </w:r>
            <w:r w:rsidRPr="00CB1421">
              <w:rPr>
                <w:rStyle w:val="Hyperlink"/>
                <w:noProof/>
                <w:lang w:val="en-MY"/>
              </w:rPr>
              <w:t>Survey Overview</w:t>
            </w:r>
            <w:r>
              <w:rPr>
                <w:noProof/>
                <w:webHidden/>
              </w:rPr>
              <w:tab/>
            </w:r>
            <w:r>
              <w:rPr>
                <w:noProof/>
                <w:webHidden/>
              </w:rPr>
              <w:fldChar w:fldCharType="begin"/>
            </w:r>
            <w:r>
              <w:rPr>
                <w:noProof/>
                <w:webHidden/>
              </w:rPr>
              <w:instrText xml:space="preserve"> PAGEREF _Toc219452826 \h </w:instrText>
            </w:r>
            <w:r>
              <w:rPr>
                <w:noProof/>
                <w:webHidden/>
              </w:rPr>
            </w:r>
            <w:r>
              <w:rPr>
                <w:noProof/>
                <w:webHidden/>
              </w:rPr>
              <w:fldChar w:fldCharType="separate"/>
            </w:r>
            <w:r>
              <w:rPr>
                <w:noProof/>
                <w:webHidden/>
              </w:rPr>
              <w:t>3</w:t>
            </w:r>
            <w:r>
              <w:rPr>
                <w:noProof/>
                <w:webHidden/>
              </w:rPr>
              <w:fldChar w:fldCharType="end"/>
            </w:r>
          </w:hyperlink>
        </w:p>
        <w:p w14:paraId="0B62F2EE" w14:textId="0427B111" w:rsidR="00A31340" w:rsidRDefault="00A31340">
          <w:pPr>
            <w:pStyle w:val="TOC2"/>
            <w:tabs>
              <w:tab w:val="left" w:pos="960"/>
              <w:tab w:val="right" w:leader="dot" w:pos="9016"/>
            </w:tabs>
            <w:rPr>
              <w:rFonts w:eastAsiaTheme="minorEastAsia" w:cstheme="minorBidi"/>
              <w:b w:val="0"/>
              <w:bCs w:val="0"/>
              <w:noProof/>
              <w:kern w:val="2"/>
              <w:sz w:val="24"/>
              <w:szCs w:val="24"/>
              <w:lang w:eastAsia="zh-TW"/>
              <w14:ligatures w14:val="standardContextual"/>
            </w:rPr>
          </w:pPr>
          <w:hyperlink w:anchor="_Toc219452827" w:history="1">
            <w:r w:rsidRPr="00CB1421">
              <w:rPr>
                <w:rStyle w:val="Hyperlink"/>
                <w:noProof/>
              </w:rPr>
              <w:t>4.2</w:t>
            </w:r>
            <w:r>
              <w:rPr>
                <w:rFonts w:eastAsiaTheme="minorEastAsia" w:cstheme="minorBidi"/>
                <w:b w:val="0"/>
                <w:bCs w:val="0"/>
                <w:noProof/>
                <w:kern w:val="2"/>
                <w:sz w:val="24"/>
                <w:szCs w:val="24"/>
                <w:lang w:eastAsia="zh-TW"/>
                <w14:ligatures w14:val="standardContextual"/>
              </w:rPr>
              <w:tab/>
            </w:r>
            <w:r w:rsidRPr="00CB1421">
              <w:rPr>
                <w:rStyle w:val="Hyperlink"/>
                <w:noProof/>
                <w:lang w:val="en-MY"/>
              </w:rPr>
              <w:t>Updating the Survey</w:t>
            </w:r>
            <w:r>
              <w:rPr>
                <w:noProof/>
                <w:webHidden/>
              </w:rPr>
              <w:tab/>
            </w:r>
            <w:r>
              <w:rPr>
                <w:noProof/>
                <w:webHidden/>
              </w:rPr>
              <w:fldChar w:fldCharType="begin"/>
            </w:r>
            <w:r>
              <w:rPr>
                <w:noProof/>
                <w:webHidden/>
              </w:rPr>
              <w:instrText xml:space="preserve"> PAGEREF _Toc219452827 \h </w:instrText>
            </w:r>
            <w:r>
              <w:rPr>
                <w:noProof/>
                <w:webHidden/>
              </w:rPr>
            </w:r>
            <w:r>
              <w:rPr>
                <w:noProof/>
                <w:webHidden/>
              </w:rPr>
              <w:fldChar w:fldCharType="separate"/>
            </w:r>
            <w:r>
              <w:rPr>
                <w:noProof/>
                <w:webHidden/>
              </w:rPr>
              <w:t>4</w:t>
            </w:r>
            <w:r>
              <w:rPr>
                <w:noProof/>
                <w:webHidden/>
              </w:rPr>
              <w:fldChar w:fldCharType="end"/>
            </w:r>
          </w:hyperlink>
        </w:p>
        <w:p w14:paraId="6E0E4310" w14:textId="50BE8CE9" w:rsidR="00A31340" w:rsidRDefault="00A31340">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hyperlink w:anchor="_Toc219452828" w:history="1">
            <w:r w:rsidRPr="00CB1421">
              <w:rPr>
                <w:rStyle w:val="Hyperlink"/>
                <w:noProof/>
              </w:rPr>
              <w:t>5</w:t>
            </w:r>
            <w:r>
              <w:rPr>
                <w:rFonts w:eastAsiaTheme="minorEastAsia" w:cstheme="minorBidi"/>
                <w:b w:val="0"/>
                <w:bCs w:val="0"/>
                <w:i w:val="0"/>
                <w:iCs w:val="0"/>
                <w:noProof/>
                <w:kern w:val="2"/>
                <w:szCs w:val="24"/>
                <w:lang w:eastAsia="zh-TW"/>
                <w14:ligatures w14:val="standardContextual"/>
              </w:rPr>
              <w:tab/>
            </w:r>
            <w:r w:rsidRPr="00CB1421">
              <w:rPr>
                <w:rStyle w:val="Hyperlink"/>
                <w:noProof/>
              </w:rPr>
              <w:t>SUBMISSION PROCESS, QUALITY ASSURANCE, TIMELINE</w:t>
            </w:r>
            <w:r>
              <w:rPr>
                <w:noProof/>
                <w:webHidden/>
              </w:rPr>
              <w:tab/>
            </w:r>
            <w:r>
              <w:rPr>
                <w:noProof/>
                <w:webHidden/>
              </w:rPr>
              <w:fldChar w:fldCharType="begin"/>
            </w:r>
            <w:r>
              <w:rPr>
                <w:noProof/>
                <w:webHidden/>
              </w:rPr>
              <w:instrText xml:space="preserve"> PAGEREF _Toc219452828 \h </w:instrText>
            </w:r>
            <w:r>
              <w:rPr>
                <w:noProof/>
                <w:webHidden/>
              </w:rPr>
            </w:r>
            <w:r>
              <w:rPr>
                <w:noProof/>
                <w:webHidden/>
              </w:rPr>
              <w:fldChar w:fldCharType="separate"/>
            </w:r>
            <w:r>
              <w:rPr>
                <w:noProof/>
                <w:webHidden/>
              </w:rPr>
              <w:t>5</w:t>
            </w:r>
            <w:r>
              <w:rPr>
                <w:noProof/>
                <w:webHidden/>
              </w:rPr>
              <w:fldChar w:fldCharType="end"/>
            </w:r>
          </w:hyperlink>
        </w:p>
        <w:p w14:paraId="342FBC44" w14:textId="1BD40357" w:rsidR="00A31340" w:rsidRDefault="00A31340">
          <w:pPr>
            <w:pStyle w:val="TOC1"/>
            <w:tabs>
              <w:tab w:val="left" w:pos="480"/>
              <w:tab w:val="right" w:leader="dot" w:pos="9016"/>
            </w:tabs>
            <w:rPr>
              <w:rFonts w:eastAsiaTheme="minorEastAsia" w:cstheme="minorBidi"/>
              <w:b w:val="0"/>
              <w:bCs w:val="0"/>
              <w:i w:val="0"/>
              <w:iCs w:val="0"/>
              <w:noProof/>
              <w:kern w:val="2"/>
              <w:szCs w:val="24"/>
              <w:lang w:eastAsia="zh-TW"/>
              <w14:ligatures w14:val="standardContextual"/>
            </w:rPr>
          </w:pPr>
          <w:hyperlink w:anchor="_Toc219452829" w:history="1">
            <w:r w:rsidRPr="00CB1421">
              <w:rPr>
                <w:rStyle w:val="Hyperlink"/>
                <w:noProof/>
              </w:rPr>
              <w:t>6</w:t>
            </w:r>
            <w:r>
              <w:rPr>
                <w:rFonts w:eastAsiaTheme="minorEastAsia" w:cstheme="minorBidi"/>
                <w:b w:val="0"/>
                <w:bCs w:val="0"/>
                <w:i w:val="0"/>
                <w:iCs w:val="0"/>
                <w:noProof/>
                <w:kern w:val="2"/>
                <w:szCs w:val="24"/>
                <w:lang w:eastAsia="zh-TW"/>
                <w14:ligatures w14:val="standardContextual"/>
              </w:rPr>
              <w:tab/>
            </w:r>
            <w:r w:rsidRPr="00CB1421">
              <w:rPr>
                <w:rStyle w:val="Hyperlink"/>
                <w:noProof/>
              </w:rPr>
              <w:t>AFTER SUBMISSION</w:t>
            </w:r>
            <w:r>
              <w:rPr>
                <w:noProof/>
                <w:webHidden/>
              </w:rPr>
              <w:tab/>
            </w:r>
            <w:r>
              <w:rPr>
                <w:noProof/>
                <w:webHidden/>
              </w:rPr>
              <w:fldChar w:fldCharType="begin"/>
            </w:r>
            <w:r>
              <w:rPr>
                <w:noProof/>
                <w:webHidden/>
              </w:rPr>
              <w:instrText xml:space="preserve"> PAGEREF _Toc219452829 \h </w:instrText>
            </w:r>
            <w:r>
              <w:rPr>
                <w:noProof/>
                <w:webHidden/>
              </w:rPr>
            </w:r>
            <w:r>
              <w:rPr>
                <w:noProof/>
                <w:webHidden/>
              </w:rPr>
              <w:fldChar w:fldCharType="separate"/>
            </w:r>
            <w:r>
              <w:rPr>
                <w:noProof/>
                <w:webHidden/>
              </w:rPr>
              <w:t>5</w:t>
            </w:r>
            <w:r>
              <w:rPr>
                <w:noProof/>
                <w:webHidden/>
              </w:rPr>
              <w:fldChar w:fldCharType="end"/>
            </w:r>
          </w:hyperlink>
        </w:p>
        <w:p w14:paraId="2656557F" w14:textId="66F623D1" w:rsidR="00A31340" w:rsidRDefault="00A31340">
          <w:pPr>
            <w:pStyle w:val="TOC1"/>
            <w:tabs>
              <w:tab w:val="right" w:leader="dot" w:pos="9016"/>
            </w:tabs>
            <w:rPr>
              <w:rFonts w:eastAsiaTheme="minorEastAsia" w:cstheme="minorBidi"/>
              <w:b w:val="0"/>
              <w:bCs w:val="0"/>
              <w:i w:val="0"/>
              <w:iCs w:val="0"/>
              <w:noProof/>
              <w:kern w:val="2"/>
              <w:szCs w:val="24"/>
              <w:lang w:eastAsia="zh-TW"/>
              <w14:ligatures w14:val="standardContextual"/>
            </w:rPr>
          </w:pPr>
          <w:hyperlink w:anchor="_Toc219452830" w:history="1">
            <w:r w:rsidRPr="00CB1421">
              <w:rPr>
                <w:rStyle w:val="Hyperlink"/>
                <w:noProof/>
              </w:rPr>
              <w:t>ANNEXES</w:t>
            </w:r>
            <w:r>
              <w:rPr>
                <w:noProof/>
                <w:webHidden/>
              </w:rPr>
              <w:tab/>
            </w:r>
            <w:r>
              <w:rPr>
                <w:noProof/>
                <w:webHidden/>
              </w:rPr>
              <w:fldChar w:fldCharType="begin"/>
            </w:r>
            <w:r>
              <w:rPr>
                <w:noProof/>
                <w:webHidden/>
              </w:rPr>
              <w:instrText xml:space="preserve"> PAGEREF _Toc219452830 \h </w:instrText>
            </w:r>
            <w:r>
              <w:rPr>
                <w:noProof/>
                <w:webHidden/>
              </w:rPr>
            </w:r>
            <w:r>
              <w:rPr>
                <w:noProof/>
                <w:webHidden/>
              </w:rPr>
              <w:fldChar w:fldCharType="separate"/>
            </w:r>
            <w:r>
              <w:rPr>
                <w:noProof/>
                <w:webHidden/>
              </w:rPr>
              <w:t>6</w:t>
            </w:r>
            <w:r>
              <w:rPr>
                <w:noProof/>
                <w:webHidden/>
              </w:rPr>
              <w:fldChar w:fldCharType="end"/>
            </w:r>
          </w:hyperlink>
        </w:p>
        <w:p w14:paraId="591AA5FA" w14:textId="39E32EFF" w:rsidR="00A31340" w:rsidRDefault="00A31340">
          <w:pPr>
            <w:pStyle w:val="TOC2"/>
            <w:tabs>
              <w:tab w:val="right" w:leader="dot" w:pos="9016"/>
            </w:tabs>
            <w:rPr>
              <w:rFonts w:eastAsiaTheme="minorEastAsia" w:cstheme="minorBidi"/>
              <w:b w:val="0"/>
              <w:bCs w:val="0"/>
              <w:noProof/>
              <w:kern w:val="2"/>
              <w:sz w:val="24"/>
              <w:szCs w:val="24"/>
              <w:lang w:eastAsia="zh-TW"/>
              <w14:ligatures w14:val="standardContextual"/>
            </w:rPr>
          </w:pPr>
          <w:hyperlink w:anchor="_Toc219452831" w:history="1">
            <w:r w:rsidRPr="00CB1421">
              <w:rPr>
                <w:rStyle w:val="Hyperlink"/>
                <w:noProof/>
              </w:rPr>
              <w:t>ANNEX 1: SUMMARY OF OPTIONAL SUPPORTING MATERIAL</w:t>
            </w:r>
            <w:r>
              <w:rPr>
                <w:noProof/>
                <w:webHidden/>
              </w:rPr>
              <w:tab/>
            </w:r>
            <w:r>
              <w:rPr>
                <w:noProof/>
                <w:webHidden/>
              </w:rPr>
              <w:fldChar w:fldCharType="begin"/>
            </w:r>
            <w:r>
              <w:rPr>
                <w:noProof/>
                <w:webHidden/>
              </w:rPr>
              <w:instrText xml:space="preserve"> PAGEREF _Toc219452831 \h </w:instrText>
            </w:r>
            <w:r>
              <w:rPr>
                <w:noProof/>
                <w:webHidden/>
              </w:rPr>
            </w:r>
            <w:r>
              <w:rPr>
                <w:noProof/>
                <w:webHidden/>
              </w:rPr>
              <w:fldChar w:fldCharType="separate"/>
            </w:r>
            <w:r>
              <w:rPr>
                <w:noProof/>
                <w:webHidden/>
              </w:rPr>
              <w:t>6</w:t>
            </w:r>
            <w:r>
              <w:rPr>
                <w:noProof/>
                <w:webHidden/>
              </w:rPr>
              <w:fldChar w:fldCharType="end"/>
            </w:r>
          </w:hyperlink>
        </w:p>
        <w:p w14:paraId="6E5E548A" w14:textId="10D3D750" w:rsidR="00A31340" w:rsidRDefault="00A31340">
          <w:pPr>
            <w:pStyle w:val="TOC2"/>
            <w:tabs>
              <w:tab w:val="right" w:leader="dot" w:pos="9016"/>
            </w:tabs>
            <w:rPr>
              <w:rFonts w:eastAsiaTheme="minorEastAsia" w:cstheme="minorBidi"/>
              <w:b w:val="0"/>
              <w:bCs w:val="0"/>
              <w:noProof/>
              <w:kern w:val="2"/>
              <w:sz w:val="24"/>
              <w:szCs w:val="24"/>
              <w:lang w:eastAsia="zh-TW"/>
              <w14:ligatures w14:val="standardContextual"/>
            </w:rPr>
          </w:pPr>
          <w:hyperlink w:anchor="_Toc219452832" w:history="1">
            <w:r w:rsidRPr="00CB1421">
              <w:rPr>
                <w:rStyle w:val="Hyperlink"/>
                <w:noProof/>
              </w:rPr>
              <w:t>ANNEX 2: 6.5.1 QUESTION LINKS TO OTHER SDG TARGETS</w:t>
            </w:r>
            <w:r>
              <w:rPr>
                <w:noProof/>
                <w:webHidden/>
              </w:rPr>
              <w:tab/>
            </w:r>
            <w:r>
              <w:rPr>
                <w:noProof/>
                <w:webHidden/>
              </w:rPr>
              <w:fldChar w:fldCharType="begin"/>
            </w:r>
            <w:r>
              <w:rPr>
                <w:noProof/>
                <w:webHidden/>
              </w:rPr>
              <w:instrText xml:space="preserve"> PAGEREF _Toc219452832 \h </w:instrText>
            </w:r>
            <w:r>
              <w:rPr>
                <w:noProof/>
                <w:webHidden/>
              </w:rPr>
            </w:r>
            <w:r>
              <w:rPr>
                <w:noProof/>
                <w:webHidden/>
              </w:rPr>
              <w:fldChar w:fldCharType="separate"/>
            </w:r>
            <w:r>
              <w:rPr>
                <w:noProof/>
                <w:webHidden/>
              </w:rPr>
              <w:t>7</w:t>
            </w:r>
            <w:r>
              <w:rPr>
                <w:noProof/>
                <w:webHidden/>
              </w:rPr>
              <w:fldChar w:fldCharType="end"/>
            </w:r>
          </w:hyperlink>
        </w:p>
        <w:p w14:paraId="33DE217A" w14:textId="2308D624" w:rsidR="00A31340" w:rsidRDefault="00A31340">
          <w:pPr>
            <w:pStyle w:val="TOC2"/>
            <w:tabs>
              <w:tab w:val="right" w:leader="dot" w:pos="9016"/>
            </w:tabs>
            <w:rPr>
              <w:rFonts w:eastAsiaTheme="minorEastAsia" w:cstheme="minorBidi"/>
              <w:b w:val="0"/>
              <w:bCs w:val="0"/>
              <w:noProof/>
              <w:kern w:val="2"/>
              <w:sz w:val="24"/>
              <w:szCs w:val="24"/>
              <w:lang w:eastAsia="zh-TW"/>
              <w14:ligatures w14:val="standardContextual"/>
            </w:rPr>
          </w:pPr>
          <w:hyperlink w:anchor="_Toc219452833" w:history="1">
            <w:r w:rsidRPr="00CB1421">
              <w:rPr>
                <w:rStyle w:val="Hyperlink"/>
                <w:noProof/>
              </w:rPr>
              <w:t>ANNEX 3: SURVEY DIFFERENCES BETWEEN ROUNDS</w:t>
            </w:r>
            <w:r>
              <w:rPr>
                <w:noProof/>
                <w:webHidden/>
              </w:rPr>
              <w:tab/>
            </w:r>
            <w:r>
              <w:rPr>
                <w:noProof/>
                <w:webHidden/>
              </w:rPr>
              <w:fldChar w:fldCharType="begin"/>
            </w:r>
            <w:r>
              <w:rPr>
                <w:noProof/>
                <w:webHidden/>
              </w:rPr>
              <w:instrText xml:space="preserve"> PAGEREF _Toc219452833 \h </w:instrText>
            </w:r>
            <w:r>
              <w:rPr>
                <w:noProof/>
                <w:webHidden/>
              </w:rPr>
            </w:r>
            <w:r>
              <w:rPr>
                <w:noProof/>
                <w:webHidden/>
              </w:rPr>
              <w:fldChar w:fldCharType="separate"/>
            </w:r>
            <w:r>
              <w:rPr>
                <w:noProof/>
                <w:webHidden/>
              </w:rPr>
              <w:t>8</w:t>
            </w:r>
            <w:r>
              <w:rPr>
                <w:noProof/>
                <w:webHidden/>
              </w:rPr>
              <w:fldChar w:fldCharType="end"/>
            </w:r>
          </w:hyperlink>
        </w:p>
        <w:p w14:paraId="06786B3F" w14:textId="6BB71C03" w:rsidR="00E56EE9" w:rsidRDefault="00E56EE9">
          <w:r>
            <w:rPr>
              <w:b/>
              <w:bCs/>
              <w:noProof/>
            </w:rPr>
            <w:fldChar w:fldCharType="end"/>
          </w:r>
        </w:p>
      </w:sdtContent>
    </w:sdt>
    <w:p w14:paraId="4497D3CC" w14:textId="77777777" w:rsidR="00B54D7F" w:rsidRDefault="00B54D7F" w:rsidP="00B54D7F">
      <w:pPr>
        <w:jc w:val="right"/>
        <w:rPr>
          <w:noProof/>
        </w:rPr>
      </w:pPr>
    </w:p>
    <w:p w14:paraId="5EB37343" w14:textId="77777777" w:rsidR="00B16801" w:rsidRDefault="00B16801" w:rsidP="00B54D7F">
      <w:pPr>
        <w:jc w:val="right"/>
        <w:rPr>
          <w:noProof/>
        </w:rPr>
      </w:pPr>
    </w:p>
    <w:p w14:paraId="7C50B225" w14:textId="77777777" w:rsidR="00B16801" w:rsidRDefault="00B16801" w:rsidP="00B54D7F">
      <w:pPr>
        <w:jc w:val="right"/>
        <w:rPr>
          <w:noProof/>
        </w:rPr>
      </w:pPr>
    </w:p>
    <w:p w14:paraId="5806E812" w14:textId="2559AD0E" w:rsidR="009819C7" w:rsidRPr="00235F7A" w:rsidRDefault="00B16801" w:rsidP="00B54D7F">
      <w:pPr>
        <w:jc w:val="right"/>
        <w:rPr>
          <w:color w:val="4698D3" w:themeColor="accent1" w:themeTint="99"/>
          <w:sz w:val="28"/>
          <w:szCs w:val="28"/>
        </w:rPr>
      </w:pPr>
      <w:r>
        <w:rPr>
          <w:noProof/>
        </w:rPr>
        <w:drawing>
          <wp:inline distT="0" distB="0" distL="0" distR="0" wp14:anchorId="2F86CCA2" wp14:editId="2A15D705">
            <wp:extent cx="3461004" cy="930630"/>
            <wp:effectExtent l="0" t="0" r="0" b="0"/>
            <wp:docPr id="91004077"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077" name="Picture 4" descr="A black background with blu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75436" cy="961400"/>
                    </a:xfrm>
                    <a:prstGeom prst="rect">
                      <a:avLst/>
                    </a:prstGeom>
                  </pic:spPr>
                </pic:pic>
              </a:graphicData>
            </a:graphic>
          </wp:inline>
        </w:drawing>
      </w:r>
      <w:r w:rsidR="00B54D7F" w:rsidRPr="00B54D7F">
        <w:rPr>
          <w:noProof/>
        </w:rPr>
        <w:t xml:space="preserve"> </w:t>
      </w:r>
    </w:p>
    <w:p w14:paraId="0B826687" w14:textId="77777777" w:rsidR="00FB0CC9" w:rsidRDefault="00FB0CC9" w:rsidP="00905EB4">
      <w:pPr>
        <w:pStyle w:val="Body"/>
        <w:rPr>
          <w:lang w:val="en-GB"/>
        </w:rPr>
      </w:pPr>
    </w:p>
    <w:p w14:paraId="0BBEE21F" w14:textId="6B392D0E" w:rsidR="00970943" w:rsidRDefault="005550D4" w:rsidP="00905EB4">
      <w:pPr>
        <w:pStyle w:val="Body"/>
        <w:rPr>
          <w:lang w:val="en-GB"/>
        </w:rPr>
      </w:pPr>
      <w:r w:rsidRPr="117E468C">
        <w:rPr>
          <w:lang w:val="en-GB"/>
        </w:rPr>
        <w:t xml:space="preserve">This guide provides an overview of the processes for completing and submitting the SDG indicator </w:t>
      </w:r>
      <w:r w:rsidR="007D6B5E" w:rsidRPr="117E468C">
        <w:rPr>
          <w:lang w:val="en-US"/>
        </w:rPr>
        <w:t>6.5.1 survey</w:t>
      </w:r>
      <w:r w:rsidRPr="117E468C">
        <w:rPr>
          <w:lang w:val="en-GB"/>
        </w:rPr>
        <w:t xml:space="preserve"> (202</w:t>
      </w:r>
      <w:r w:rsidR="007D6B5E" w:rsidRPr="117E468C">
        <w:rPr>
          <w:lang w:val="en-GB"/>
        </w:rPr>
        <w:t>6</w:t>
      </w:r>
      <w:r w:rsidRPr="117E468C">
        <w:rPr>
          <w:lang w:val="en-GB"/>
        </w:rPr>
        <w:t xml:space="preserve"> version). This guide should be read by all SDG indicator 6.5.1 Focal Points</w:t>
      </w:r>
      <w:r w:rsidR="00BE2C8E" w:rsidRPr="117E468C">
        <w:rPr>
          <w:lang w:val="en-GB"/>
        </w:rPr>
        <w:t xml:space="preserve"> and </w:t>
      </w:r>
      <w:r w:rsidR="00962913" w:rsidRPr="117E468C">
        <w:rPr>
          <w:lang w:val="en-GB"/>
        </w:rPr>
        <w:t>supporting Focal Points</w:t>
      </w:r>
      <w:r w:rsidRPr="117E468C">
        <w:rPr>
          <w:lang w:val="en-GB"/>
        </w:rPr>
        <w:t xml:space="preserve">. The survey and this guide are </w:t>
      </w:r>
      <w:r w:rsidR="004B2378" w:rsidRPr="006B12B0">
        <w:rPr>
          <w:lang w:val="en-US"/>
        </w:rPr>
        <w:t>available</w:t>
      </w:r>
      <w:r w:rsidRPr="117E468C">
        <w:rPr>
          <w:lang w:val="en-GB"/>
        </w:rPr>
        <w:t xml:space="preserve"> in English, French, Spanish, Arabic, Portuguese, Russian, and Chinese. Additional (optional) supporting materials are referenced from the text, and a summary table of these can be found in </w:t>
      </w:r>
      <w:hyperlink w:anchor="_ANNEX_1:_SUMMARY">
        <w:r w:rsidRPr="117E468C">
          <w:rPr>
            <w:rStyle w:val="Hyperlink"/>
            <w:lang w:val="en-GB"/>
          </w:rPr>
          <w:t>Annex 1</w:t>
        </w:r>
      </w:hyperlink>
      <w:r w:rsidRPr="117E468C">
        <w:rPr>
          <w:lang w:val="en-GB"/>
        </w:rPr>
        <w:t xml:space="preserve">. All materials are available from the </w:t>
      </w:r>
      <w:hyperlink r:id="rId13">
        <w:r w:rsidRPr="117E468C">
          <w:rPr>
            <w:rStyle w:val="Hyperlink"/>
            <w:lang w:val="en-GB"/>
          </w:rPr>
          <w:t>IWRM Data Portal</w:t>
        </w:r>
      </w:hyperlink>
      <w:r w:rsidR="004646E9" w:rsidRPr="117E468C">
        <w:rPr>
          <w:lang w:val="en-GB"/>
        </w:rPr>
        <w:t>.</w:t>
      </w:r>
    </w:p>
    <w:p w14:paraId="38F10606" w14:textId="32ABFC9C" w:rsidR="004646E9" w:rsidRDefault="004646E9" w:rsidP="0071781E">
      <w:pPr>
        <w:pStyle w:val="Heading1"/>
        <w:spacing w:before="120" w:after="240"/>
        <w:ind w:left="431" w:hanging="431"/>
      </w:pPr>
      <w:bookmarkStart w:id="0" w:name="_Toc219452822"/>
      <w:r w:rsidRPr="005E0435">
        <w:t>ROLES</w:t>
      </w:r>
      <w:r w:rsidRPr="568FBF53">
        <w:t xml:space="preserve"> AND RESPONSIBILITIES: FOCAL POINTS</w:t>
      </w:r>
      <w:bookmarkEnd w:id="0"/>
    </w:p>
    <w:p w14:paraId="3700A229" w14:textId="6A2DA019" w:rsidR="004646E9" w:rsidRPr="004303E9" w:rsidRDefault="005550D4" w:rsidP="00905EB4">
      <w:pPr>
        <w:pStyle w:val="Body"/>
        <w:rPr>
          <w:b/>
          <w:bCs/>
          <w:lang w:val="en-GB"/>
        </w:rPr>
      </w:pPr>
      <w:r w:rsidRPr="004303E9">
        <w:rPr>
          <w:lang w:val="en-GB"/>
        </w:rPr>
        <w:t>The SDG indicator 6.5.1 Focal Point</w:t>
      </w:r>
      <w:r w:rsidR="00284D3C">
        <w:rPr>
          <w:lang w:val="en-GB"/>
        </w:rPr>
        <w:t>(s)</w:t>
      </w:r>
      <w:r w:rsidRPr="004303E9">
        <w:rPr>
          <w:lang w:val="en-GB"/>
        </w:rPr>
        <w:t xml:space="preserve"> has overall responsibility for coordinating the monitoring process, including stakeholder consultation (see section </w:t>
      </w:r>
      <w:r w:rsidR="00F3342D">
        <w:rPr>
          <w:lang w:val="en-GB"/>
        </w:rPr>
        <w:t>3</w:t>
      </w:r>
      <w:r w:rsidRPr="004303E9">
        <w:rPr>
          <w:lang w:val="en-GB"/>
        </w:rPr>
        <w:t xml:space="preserve">), and submitting draft and final surveys to the United Nations Environment Programme (UNEP), as the custodian agency for the indicator (see section </w:t>
      </w:r>
      <w:r w:rsidR="00F3342D">
        <w:rPr>
          <w:lang w:val="en-GB"/>
        </w:rPr>
        <w:t>5</w:t>
      </w:r>
      <w:r w:rsidRPr="004303E9">
        <w:rPr>
          <w:lang w:val="en-GB"/>
        </w:rPr>
        <w:t>). In most countries, Focal Points are affiliated with the ministry responsible for water resources management, although sometimes they are from the National Statistical Office (NSO)</w:t>
      </w:r>
      <w:r w:rsidR="00EA4521">
        <w:rPr>
          <w:lang w:val="en-GB"/>
        </w:rPr>
        <w:t xml:space="preserve">, Ministry of Planning, </w:t>
      </w:r>
      <w:r w:rsidR="00BE2C8E">
        <w:rPr>
          <w:lang w:val="en-GB"/>
        </w:rPr>
        <w:t>Ministry of Foreign Affairs, or similar</w:t>
      </w:r>
      <w:r w:rsidRPr="004303E9">
        <w:rPr>
          <w:lang w:val="en-GB"/>
        </w:rPr>
        <w:t>.</w:t>
      </w:r>
      <w:r w:rsidRPr="568FBF53">
        <w:rPr>
          <w:rStyle w:val="FootnoteReference"/>
          <w:lang w:val="en-GB"/>
        </w:rPr>
        <w:footnoteReference w:id="1"/>
      </w:r>
      <w:r w:rsidRPr="004303E9">
        <w:rPr>
          <w:lang w:val="en-GB"/>
        </w:rPr>
        <w:t xml:space="preserve"> In such cases, it is highly recommended that a ‘supporting’ Focal Point is nominated that is affiliated with the ministry for water resources (or similar). The Focal Point will likely work with colleagues in an ‘indicator team</w:t>
      </w:r>
      <w:r w:rsidR="0077005E" w:rsidRPr="004303E9">
        <w:rPr>
          <w:lang w:val="en-GB"/>
        </w:rPr>
        <w:t>’ and</w:t>
      </w:r>
      <w:r w:rsidRPr="004303E9">
        <w:rPr>
          <w:lang w:val="en-GB"/>
        </w:rPr>
        <w:t xml:space="preserve"> may engage or appoint a ‘facilitator’ to run consultation processes (see section </w:t>
      </w:r>
      <w:r w:rsidR="007B64C0">
        <w:rPr>
          <w:lang w:val="en-GB"/>
        </w:rPr>
        <w:t>3</w:t>
      </w:r>
      <w:r w:rsidRPr="004303E9">
        <w:rPr>
          <w:lang w:val="en-GB"/>
        </w:rPr>
        <w:t>)</w:t>
      </w:r>
      <w:r w:rsidR="004646E9" w:rsidRPr="004303E9">
        <w:rPr>
          <w:lang w:val="en-GB"/>
        </w:rPr>
        <w:t xml:space="preserve">. </w:t>
      </w:r>
    </w:p>
    <w:p w14:paraId="12D9A771" w14:textId="0B06B3A2" w:rsidR="004646E9" w:rsidRDefault="004646E9" w:rsidP="0071781E">
      <w:pPr>
        <w:pStyle w:val="Heading1"/>
        <w:spacing w:before="120" w:after="240"/>
        <w:ind w:left="431" w:hanging="431"/>
      </w:pPr>
      <w:bookmarkStart w:id="1" w:name="_Toc219452823"/>
      <w:r w:rsidRPr="568FBF53">
        <w:t>AVAILABLE SUPPORT</w:t>
      </w:r>
      <w:bookmarkEnd w:id="1"/>
    </w:p>
    <w:p w14:paraId="295DEEC5" w14:textId="547864CC" w:rsidR="005550D4" w:rsidRDefault="005550D4" w:rsidP="00905EB4">
      <w:pPr>
        <w:pStyle w:val="Body"/>
        <w:rPr>
          <w:lang w:val="en-GB"/>
        </w:rPr>
      </w:pPr>
      <w:r w:rsidRPr="568FBF53">
        <w:rPr>
          <w:lang w:val="en-GB"/>
        </w:rPr>
        <w:t xml:space="preserve">Most countries are expected to have the capacity to complete and submit the </w:t>
      </w:r>
      <w:r w:rsidR="007D6B5E" w:rsidRPr="001800CA">
        <w:rPr>
          <w:lang w:val="en-US"/>
        </w:rPr>
        <w:t>6.5.1 survey</w:t>
      </w:r>
      <w:r w:rsidRPr="568FBF53">
        <w:rPr>
          <w:lang w:val="en-GB"/>
        </w:rPr>
        <w:t xml:space="preserve">, drawing on the available supporting materials (see </w:t>
      </w:r>
      <w:hyperlink w:anchor="_ANNEX_1:_SUMMARY" w:history="1">
        <w:r w:rsidRPr="00253078">
          <w:rPr>
            <w:rStyle w:val="Hyperlink"/>
            <w:lang w:val="en-GB"/>
          </w:rPr>
          <w:t>Annex 1</w:t>
        </w:r>
      </w:hyperlink>
      <w:r w:rsidRPr="568FBF53">
        <w:rPr>
          <w:lang w:val="en-GB"/>
        </w:rPr>
        <w:t xml:space="preserve">), as needed. In addition, any queries can be directed to the SDG 6.5.1 IWRM Help Desk, hosted by UNEP, at </w:t>
      </w:r>
      <w:hyperlink r:id="rId14">
        <w:r w:rsidRPr="568FBF53">
          <w:rPr>
            <w:rStyle w:val="Hyperlink"/>
            <w:lang w:val="en-GB"/>
          </w:rPr>
          <w:t>iwrmsdg651@un.org</w:t>
        </w:r>
      </w:hyperlink>
      <w:r w:rsidRPr="568FBF53">
        <w:rPr>
          <w:lang w:val="en-GB"/>
        </w:rPr>
        <w:t xml:space="preserve">. </w:t>
      </w:r>
      <w:r w:rsidR="00532861" w:rsidRPr="568FBF53">
        <w:rPr>
          <w:lang w:val="en-GB"/>
        </w:rPr>
        <w:t xml:space="preserve">Upon request, the </w:t>
      </w:r>
      <w:r w:rsidR="00532861" w:rsidRPr="00874432">
        <w:rPr>
          <w:lang w:val="en-GB"/>
        </w:rPr>
        <w:t>Help Desk</w:t>
      </w:r>
      <w:r w:rsidR="00532861" w:rsidRPr="568FBF53">
        <w:rPr>
          <w:lang w:val="en-GB"/>
        </w:rPr>
        <w:t xml:space="preserve"> can provide support to the Focal Points on matters such as interpretation of questions and thresholds, the appropriate level of stakeholder engagement, and support with submissions.</w:t>
      </w:r>
    </w:p>
    <w:p w14:paraId="230FCD8D" w14:textId="6268419D" w:rsidR="00633EB0" w:rsidRPr="004303E9" w:rsidRDefault="547ECC2B" w:rsidP="00905EB4">
      <w:pPr>
        <w:pStyle w:val="Body"/>
        <w:rPr>
          <w:lang w:val="en-GB"/>
        </w:rPr>
      </w:pPr>
      <w:r w:rsidRPr="1B7ADB4A">
        <w:rPr>
          <w:lang w:val="en-GB"/>
        </w:rPr>
        <w:t>In</w:t>
      </w:r>
      <w:r w:rsidR="00027FD2" w:rsidRPr="1B7ADB4A">
        <w:rPr>
          <w:lang w:val="en-GB"/>
        </w:rPr>
        <w:t xml:space="preserve"> 2026, only a limited number of countries </w:t>
      </w:r>
      <w:r w:rsidR="4FD37DCA" w:rsidRPr="1B7ADB4A">
        <w:rPr>
          <w:lang w:val="en-GB"/>
        </w:rPr>
        <w:t>will</w:t>
      </w:r>
      <w:r w:rsidR="00027FD2" w:rsidRPr="1B7ADB4A">
        <w:rPr>
          <w:lang w:val="en-GB"/>
        </w:rPr>
        <w:t xml:space="preserve"> receive</w:t>
      </w:r>
      <w:r w:rsidR="7546685E" w:rsidRPr="1B7ADB4A">
        <w:rPr>
          <w:lang w:val="en-GB"/>
        </w:rPr>
        <w:t xml:space="preserve"> technical/financial</w:t>
      </w:r>
      <w:r w:rsidR="00027FD2" w:rsidRPr="1B7ADB4A">
        <w:rPr>
          <w:lang w:val="en-GB"/>
        </w:rPr>
        <w:t xml:space="preserve"> </w:t>
      </w:r>
      <w:r w:rsidR="3BE75E8A" w:rsidRPr="1B7ADB4A">
        <w:rPr>
          <w:lang w:val="en-GB"/>
        </w:rPr>
        <w:t>assistance</w:t>
      </w:r>
      <w:r w:rsidR="00432666">
        <w:rPr>
          <w:lang w:val="en-GB"/>
        </w:rPr>
        <w:t>,</w:t>
      </w:r>
      <w:r w:rsidR="00027FD2" w:rsidRPr="1B7ADB4A">
        <w:rPr>
          <w:lang w:val="en-GB"/>
        </w:rPr>
        <w:t xml:space="preserve"> </w:t>
      </w:r>
      <w:r w:rsidR="1B7ADB4A" w:rsidRPr="1B7ADB4A">
        <w:rPr>
          <w:lang w:val="en-GB"/>
        </w:rPr>
        <w:t xml:space="preserve">through </w:t>
      </w:r>
      <w:hyperlink r:id="rId15">
        <w:r w:rsidR="1B7ADB4A" w:rsidRPr="1B7ADB4A">
          <w:rPr>
            <w:rStyle w:val="Hyperlink"/>
            <w:lang w:val="en-GB"/>
          </w:rPr>
          <w:t>Stage 1</w:t>
        </w:r>
      </w:hyperlink>
      <w:r w:rsidR="1B7ADB4A" w:rsidRPr="1B7ADB4A">
        <w:rPr>
          <w:lang w:val="en-GB"/>
        </w:rPr>
        <w:t xml:space="preserve"> of the SDG 6 Support Programme</w:t>
      </w:r>
      <w:r w:rsidR="00432666">
        <w:rPr>
          <w:lang w:val="en-GB"/>
        </w:rPr>
        <w:t>,</w:t>
      </w:r>
      <w:r w:rsidR="62DC09D7" w:rsidRPr="1B7ADB4A">
        <w:rPr>
          <w:lang w:val="en-GB"/>
        </w:rPr>
        <w:t xml:space="preserve"> </w:t>
      </w:r>
      <w:r w:rsidR="1B7ADB4A" w:rsidRPr="1B7ADB4A">
        <w:rPr>
          <w:lang w:val="en-GB"/>
        </w:rPr>
        <w:t xml:space="preserve">to hold stakeholder consultations for reporting on indicator 6.5.1 . These countries have been pre-selected </w:t>
      </w:r>
      <w:r w:rsidR="7478177C" w:rsidRPr="1B7ADB4A">
        <w:rPr>
          <w:lang w:val="en-GB"/>
        </w:rPr>
        <w:t xml:space="preserve">on a </w:t>
      </w:r>
      <w:proofErr w:type="gramStart"/>
      <w:r w:rsidR="7478177C" w:rsidRPr="1B7ADB4A">
        <w:rPr>
          <w:lang w:val="en-GB"/>
        </w:rPr>
        <w:t>needs</w:t>
      </w:r>
      <w:proofErr w:type="gramEnd"/>
      <w:r w:rsidR="7478177C" w:rsidRPr="1B7ADB4A">
        <w:rPr>
          <w:lang w:val="en-GB"/>
        </w:rPr>
        <w:t xml:space="preserve"> basis</w:t>
      </w:r>
      <w:r w:rsidR="00350657">
        <w:rPr>
          <w:lang w:val="en-GB"/>
        </w:rPr>
        <w:t>, considering strength of submissions in previous rounds</w:t>
      </w:r>
      <w:r w:rsidR="1B7ADB4A" w:rsidRPr="1B7ADB4A">
        <w:rPr>
          <w:lang w:val="en-GB"/>
        </w:rPr>
        <w:t xml:space="preserve">. Countries that have not been pre-selected for </w:t>
      </w:r>
      <w:r w:rsidR="00D12FC2">
        <w:rPr>
          <w:lang w:val="en-GB"/>
        </w:rPr>
        <w:t>S</w:t>
      </w:r>
      <w:r w:rsidR="1B7ADB4A" w:rsidRPr="1B7ADB4A">
        <w:rPr>
          <w:lang w:val="en-GB"/>
        </w:rPr>
        <w:t xml:space="preserve">tage 1 support are still welcome to contact the </w:t>
      </w:r>
      <w:r w:rsidR="00D12FC2">
        <w:rPr>
          <w:lang w:val="en-GB"/>
        </w:rPr>
        <w:t>H</w:t>
      </w:r>
      <w:r w:rsidR="1B7ADB4A" w:rsidRPr="1B7ADB4A">
        <w:rPr>
          <w:lang w:val="en-GB"/>
        </w:rPr>
        <w:t>elp</w:t>
      </w:r>
      <w:r w:rsidR="00D12FC2">
        <w:rPr>
          <w:lang w:val="en-GB"/>
        </w:rPr>
        <w:t xml:space="preserve"> D</w:t>
      </w:r>
      <w:r w:rsidR="1B7ADB4A" w:rsidRPr="1B7ADB4A">
        <w:rPr>
          <w:lang w:val="en-GB"/>
        </w:rPr>
        <w:t>esk throughout the</w:t>
      </w:r>
      <w:r w:rsidR="608C1D49" w:rsidRPr="1B7ADB4A">
        <w:rPr>
          <w:lang w:val="en-GB"/>
        </w:rPr>
        <w:t>ir</w:t>
      </w:r>
      <w:r w:rsidR="1B7ADB4A" w:rsidRPr="1B7ADB4A">
        <w:rPr>
          <w:lang w:val="en-GB"/>
        </w:rPr>
        <w:t xml:space="preserve"> reporting</w:t>
      </w:r>
      <w:r w:rsidR="34C8E63D" w:rsidRPr="1B7ADB4A">
        <w:rPr>
          <w:lang w:val="en-GB"/>
        </w:rPr>
        <w:t xml:space="preserve"> p</w:t>
      </w:r>
      <w:r w:rsidR="00DF11C9">
        <w:rPr>
          <w:lang w:val="en-GB"/>
        </w:rPr>
        <w:t>ro</w:t>
      </w:r>
      <w:r w:rsidR="34C8E63D" w:rsidRPr="1B7ADB4A">
        <w:rPr>
          <w:lang w:val="en-GB"/>
        </w:rPr>
        <w:t>cess</w:t>
      </w:r>
      <w:r w:rsidR="1B7ADB4A" w:rsidRPr="1B7ADB4A">
        <w:rPr>
          <w:lang w:val="en-GB"/>
        </w:rPr>
        <w:t xml:space="preserve"> to ask for guidance. </w:t>
      </w:r>
    </w:p>
    <w:p w14:paraId="60C777BD" w14:textId="1417177B" w:rsidR="004646E9" w:rsidRDefault="00EC4A87" w:rsidP="0071781E">
      <w:pPr>
        <w:pStyle w:val="Heading1"/>
        <w:spacing w:before="120" w:after="240"/>
        <w:ind w:left="431" w:hanging="431"/>
      </w:pPr>
      <w:bookmarkStart w:id="2" w:name="_Toc219115784"/>
      <w:bookmarkStart w:id="3" w:name="_Toc219115785"/>
      <w:bookmarkStart w:id="4" w:name="_Toc219452824"/>
      <w:bookmarkEnd w:id="2"/>
      <w:bookmarkEnd w:id="3"/>
      <w:r>
        <w:t>STAKEHOLDER CONSULTATION PROCESS</w:t>
      </w:r>
      <w:bookmarkEnd w:id="4"/>
    </w:p>
    <w:p w14:paraId="63F808C1" w14:textId="77777777" w:rsidR="00091025" w:rsidRDefault="009628B2" w:rsidP="00905EB4">
      <w:pPr>
        <w:pStyle w:val="Body"/>
        <w:rPr>
          <w:lang w:val="en-GB"/>
        </w:rPr>
      </w:pPr>
      <w:r>
        <w:rPr>
          <w:lang w:val="en-GB"/>
        </w:rPr>
        <w:t>T</w:t>
      </w:r>
      <w:r w:rsidRPr="1B7ADB4A">
        <w:rPr>
          <w:lang w:val="en-GB"/>
        </w:rPr>
        <w:t xml:space="preserve">o ensure a robust and accurate </w:t>
      </w:r>
      <w:r w:rsidR="007762AF">
        <w:rPr>
          <w:lang w:val="en-GB"/>
        </w:rPr>
        <w:t>survey</w:t>
      </w:r>
      <w:r>
        <w:rPr>
          <w:lang w:val="en-GB"/>
        </w:rPr>
        <w:t>,</w:t>
      </w:r>
      <w:r w:rsidRPr="1B7ADB4A">
        <w:rPr>
          <w:lang w:val="en-GB"/>
        </w:rPr>
        <w:t xml:space="preserve"> </w:t>
      </w:r>
      <w:r>
        <w:rPr>
          <w:lang w:val="en-GB"/>
        </w:rPr>
        <w:t>a</w:t>
      </w:r>
      <w:r w:rsidR="00795FFC" w:rsidRPr="1B7ADB4A">
        <w:rPr>
          <w:lang w:val="en-GB"/>
        </w:rPr>
        <w:t xml:space="preserve"> stakeholder engagement process to complete the survey is strongly encouraged.</w:t>
      </w:r>
      <w:r w:rsidR="007762AF">
        <w:rPr>
          <w:lang w:val="en-GB"/>
        </w:rPr>
        <w:t xml:space="preserve"> </w:t>
      </w:r>
      <w:r w:rsidR="000C5A48">
        <w:rPr>
          <w:lang w:val="en-GB"/>
        </w:rPr>
        <w:t xml:space="preserve">The extent of stakeholder consultation should be appropriate </w:t>
      </w:r>
      <w:r w:rsidR="00982EAE">
        <w:rPr>
          <w:lang w:val="en-GB"/>
        </w:rPr>
        <w:t>within the national context, given time and resource constraints</w:t>
      </w:r>
      <w:r w:rsidR="00795FFC" w:rsidRPr="1B7ADB4A">
        <w:rPr>
          <w:lang w:val="en-GB"/>
        </w:rPr>
        <w:t xml:space="preserve">. </w:t>
      </w:r>
      <w:r w:rsidR="003D68B7">
        <w:rPr>
          <w:lang w:val="en-GB"/>
        </w:rPr>
        <w:t xml:space="preserve">This may range from key ministries </w:t>
      </w:r>
      <w:r w:rsidR="005B2F36">
        <w:rPr>
          <w:lang w:val="en-GB"/>
        </w:rPr>
        <w:t xml:space="preserve">responsible for, or engaged in, various aspects of water resources management, to </w:t>
      </w:r>
      <w:r w:rsidR="00091025">
        <w:rPr>
          <w:lang w:val="en-GB"/>
        </w:rPr>
        <w:t xml:space="preserve">non-government organisations, the private sector, and academia. </w:t>
      </w:r>
    </w:p>
    <w:p w14:paraId="54E53D90" w14:textId="54FF5F4E" w:rsidR="00EC4A87" w:rsidRDefault="00795FFC" w:rsidP="00905EB4">
      <w:pPr>
        <w:pStyle w:val="Body"/>
        <w:rPr>
          <w:lang w:val="en-GB"/>
        </w:rPr>
      </w:pPr>
      <w:r w:rsidRPr="1B7ADB4A">
        <w:rPr>
          <w:lang w:val="en-GB"/>
        </w:rPr>
        <w:t xml:space="preserve">Experience from previous rounds tells us that countries have found the consultation process useful in developing a shared understanding of key issues and priorities among various stakeholders. </w:t>
      </w:r>
      <w:r w:rsidR="00EC4A87">
        <w:rPr>
          <w:lang w:val="en-GB"/>
        </w:rPr>
        <w:t>S</w:t>
      </w:r>
      <w:r w:rsidRPr="1B7ADB4A">
        <w:rPr>
          <w:lang w:val="en-GB"/>
        </w:rPr>
        <w:t xml:space="preserve">takeholder engagement also makes the completed survey a more useful diagnostic tool for further discussions and planning (see section </w:t>
      </w:r>
      <w:r w:rsidR="00DF11C9">
        <w:rPr>
          <w:lang w:val="en-GB"/>
        </w:rPr>
        <w:t>6</w:t>
      </w:r>
      <w:r w:rsidRPr="1B7ADB4A">
        <w:rPr>
          <w:lang w:val="en-GB"/>
        </w:rPr>
        <w:t xml:space="preserve">). </w:t>
      </w:r>
    </w:p>
    <w:p w14:paraId="7158D3EE" w14:textId="5ECE58AF" w:rsidR="00795FFC" w:rsidRPr="00795FFC" w:rsidRDefault="00EC4A87" w:rsidP="00905EB4">
      <w:pPr>
        <w:pStyle w:val="Body"/>
        <w:rPr>
          <w:lang w:val="en-GB"/>
        </w:rPr>
      </w:pPr>
      <w:r>
        <w:rPr>
          <w:lang w:val="en-GB"/>
        </w:rPr>
        <w:t xml:space="preserve">While a broad stakeholder consultation might not be feasible </w:t>
      </w:r>
      <w:r w:rsidR="00530E57">
        <w:rPr>
          <w:lang w:val="en-GB"/>
        </w:rPr>
        <w:t>in</w:t>
      </w:r>
      <w:r>
        <w:rPr>
          <w:lang w:val="en-GB"/>
        </w:rPr>
        <w:t xml:space="preserve"> all</w:t>
      </w:r>
      <w:r w:rsidR="00530E57">
        <w:rPr>
          <w:lang w:val="en-GB"/>
        </w:rPr>
        <w:t xml:space="preserve"> countries</w:t>
      </w:r>
      <w:r>
        <w:rPr>
          <w:lang w:val="en-GB"/>
        </w:rPr>
        <w:t>, the following</w:t>
      </w:r>
      <w:r w:rsidR="00635212">
        <w:rPr>
          <w:lang w:val="en-GB"/>
        </w:rPr>
        <w:t xml:space="preserve"> guidance should be considered to ensure a sufficient stakeholder consultation process:</w:t>
      </w:r>
    </w:p>
    <w:p w14:paraId="77C74E97" w14:textId="7ABFC5D8" w:rsidR="00795FFC" w:rsidRPr="00795FFC" w:rsidRDefault="00743B78" w:rsidP="0071781E">
      <w:pPr>
        <w:pStyle w:val="Body"/>
        <w:numPr>
          <w:ilvl w:val="0"/>
          <w:numId w:val="2"/>
        </w:numPr>
        <w:ind w:left="714" w:hanging="357"/>
        <w:contextualSpacing/>
        <w:rPr>
          <w:lang w:val="en-GB"/>
        </w:rPr>
      </w:pPr>
      <w:r>
        <w:rPr>
          <w:b/>
          <w:bCs/>
          <w:lang w:val="en-GB"/>
        </w:rPr>
        <w:t>Preparation</w:t>
      </w:r>
      <w:r w:rsidR="00795FFC" w:rsidRPr="00EC4A87">
        <w:rPr>
          <w:b/>
          <w:bCs/>
          <w:lang w:val="en-GB"/>
        </w:rPr>
        <w:t>:</w:t>
      </w:r>
      <w:r w:rsidR="00795FFC" w:rsidRPr="568FBF53">
        <w:rPr>
          <w:lang w:val="en-GB"/>
        </w:rPr>
        <w:t xml:space="preserve"> </w:t>
      </w:r>
      <w:r>
        <w:rPr>
          <w:lang w:val="en-GB"/>
        </w:rPr>
        <w:t>S</w:t>
      </w:r>
      <w:r w:rsidRPr="00EB3205">
        <w:rPr>
          <w:lang w:val="en-GB"/>
        </w:rPr>
        <w:t xml:space="preserve">tart by </w:t>
      </w:r>
      <w:r w:rsidRPr="00271910">
        <w:rPr>
          <w:lang w:val="en-GB"/>
        </w:rPr>
        <w:t>clarifying who will organise and lead the stakeholder consultation</w:t>
      </w:r>
      <w:r w:rsidRPr="00743B78">
        <w:rPr>
          <w:lang w:val="en-GB"/>
        </w:rPr>
        <w:t xml:space="preserve">. </w:t>
      </w:r>
      <w:r w:rsidR="0077005E" w:rsidRPr="00EB3205">
        <w:rPr>
          <w:lang w:val="en-GB"/>
        </w:rPr>
        <w:t xml:space="preserve">This </w:t>
      </w:r>
      <w:r w:rsidR="0077005E">
        <w:rPr>
          <w:lang w:val="en-GB"/>
        </w:rPr>
        <w:t>can be</w:t>
      </w:r>
      <w:r w:rsidRPr="00EB3205">
        <w:rPr>
          <w:lang w:val="en-GB"/>
        </w:rPr>
        <w:t xml:space="preserve"> done directly through the Focal Point or a small team appointed by them</w:t>
      </w:r>
      <w:r>
        <w:rPr>
          <w:lang w:val="en-GB"/>
        </w:rPr>
        <w:t xml:space="preserve"> </w:t>
      </w:r>
      <w:r w:rsidR="00635212">
        <w:rPr>
          <w:lang w:val="en-GB"/>
        </w:rPr>
        <w:t xml:space="preserve">including </w:t>
      </w:r>
      <w:r>
        <w:rPr>
          <w:lang w:val="en-GB"/>
        </w:rPr>
        <w:lastRenderedPageBreak/>
        <w:t>for example</w:t>
      </w:r>
      <w:r w:rsidR="0077005E">
        <w:rPr>
          <w:lang w:val="en-GB"/>
        </w:rPr>
        <w:t>,</w:t>
      </w:r>
      <w:r>
        <w:rPr>
          <w:lang w:val="en-GB"/>
        </w:rPr>
        <w:t xml:space="preserve"> </w:t>
      </w:r>
      <w:r w:rsidR="00795FFC" w:rsidRPr="568FBF53">
        <w:rPr>
          <w:lang w:val="en-GB"/>
        </w:rPr>
        <w:t>gover</w:t>
      </w:r>
      <w:r w:rsidR="00635212">
        <w:rPr>
          <w:lang w:val="en-GB"/>
        </w:rPr>
        <w:t>nment</w:t>
      </w:r>
      <w:r w:rsidR="00FB0CC9">
        <w:rPr>
          <w:lang w:val="en-GB"/>
        </w:rPr>
        <w:t xml:space="preserve"> </w:t>
      </w:r>
      <w:r w:rsidR="00795FFC" w:rsidRPr="568FBF53">
        <w:rPr>
          <w:lang w:val="en-GB"/>
        </w:rPr>
        <w:t>stakeholders across relevant sectors</w:t>
      </w:r>
      <w:r w:rsidR="00635212">
        <w:rPr>
          <w:lang w:val="en-GB"/>
        </w:rPr>
        <w:t>, such as environment, agriculture and economy.</w:t>
      </w:r>
    </w:p>
    <w:p w14:paraId="35D7AD4D" w14:textId="537C8E3E" w:rsidR="00874432" w:rsidRPr="00EC4A87" w:rsidRDefault="00091025" w:rsidP="0071781E">
      <w:pPr>
        <w:pStyle w:val="Body"/>
        <w:numPr>
          <w:ilvl w:val="0"/>
          <w:numId w:val="2"/>
        </w:numPr>
        <w:ind w:left="714" w:hanging="357"/>
        <w:contextualSpacing/>
        <w:rPr>
          <w:b/>
          <w:bCs/>
          <w:lang w:val="en-GB"/>
        </w:rPr>
      </w:pPr>
      <w:r>
        <w:rPr>
          <w:b/>
          <w:bCs/>
          <w:lang w:val="en-GB"/>
        </w:rPr>
        <w:t>Updating</w:t>
      </w:r>
      <w:r w:rsidR="00635212">
        <w:rPr>
          <w:b/>
          <w:bCs/>
          <w:lang w:val="en-GB"/>
        </w:rPr>
        <w:t xml:space="preserve"> the survey: </w:t>
      </w:r>
      <w:r w:rsidR="00635212">
        <w:rPr>
          <w:lang w:val="en-GB"/>
        </w:rPr>
        <w:t>Once a group has been identified and a first presentation meeting has been held, the two following approach</w:t>
      </w:r>
      <w:r w:rsidR="00530E57">
        <w:rPr>
          <w:lang w:val="en-GB"/>
        </w:rPr>
        <w:t>es</w:t>
      </w:r>
      <w:r w:rsidR="00B93F74">
        <w:rPr>
          <w:lang w:val="en-GB"/>
        </w:rPr>
        <w:t>, or a blend of both approaches,</w:t>
      </w:r>
      <w:r w:rsidR="00635212">
        <w:rPr>
          <w:lang w:val="en-GB"/>
        </w:rPr>
        <w:t xml:space="preserve"> can be used to </w:t>
      </w:r>
      <w:r w:rsidR="00CF21F0">
        <w:rPr>
          <w:lang w:val="en-GB"/>
        </w:rPr>
        <w:t>update</w:t>
      </w:r>
      <w:r w:rsidR="00635212">
        <w:rPr>
          <w:lang w:val="en-GB"/>
        </w:rPr>
        <w:t xml:space="preserve"> the SDG 6.5.1 survey: </w:t>
      </w:r>
      <w:r w:rsidR="00795FFC" w:rsidRPr="00EC4A87">
        <w:rPr>
          <w:b/>
          <w:bCs/>
          <w:lang w:val="en-GB"/>
        </w:rPr>
        <w:t xml:space="preserve"> </w:t>
      </w:r>
    </w:p>
    <w:p w14:paraId="563BB2BE" w14:textId="19671114" w:rsidR="00874432" w:rsidRPr="00635212" w:rsidRDefault="00795FFC" w:rsidP="0071781E">
      <w:pPr>
        <w:pStyle w:val="Body"/>
        <w:numPr>
          <w:ilvl w:val="1"/>
          <w:numId w:val="2"/>
        </w:numPr>
        <w:contextualSpacing/>
        <w:rPr>
          <w:lang w:val="en-GB"/>
        </w:rPr>
      </w:pPr>
      <w:r w:rsidRPr="00B93F74">
        <w:rPr>
          <w:u w:val="single"/>
          <w:lang w:val="en-GB"/>
        </w:rPr>
        <w:t>in series</w:t>
      </w:r>
      <w:r w:rsidR="00874432" w:rsidRPr="00B93F74">
        <w:rPr>
          <w:u w:val="single"/>
          <w:lang w:val="en-GB"/>
        </w:rPr>
        <w:t>:</w:t>
      </w:r>
      <w:r w:rsidR="00874432">
        <w:rPr>
          <w:lang w:val="en-GB"/>
        </w:rPr>
        <w:t xml:space="preserve"> </w:t>
      </w:r>
      <w:r w:rsidR="00874432" w:rsidRPr="00874432">
        <w:rPr>
          <w:lang w:val="en-GB"/>
        </w:rPr>
        <w:t xml:space="preserve">consecutive drafts developed with </w:t>
      </w:r>
      <w:r w:rsidR="00874432" w:rsidRPr="450D07DD">
        <w:rPr>
          <w:lang w:val="en-GB"/>
        </w:rPr>
        <w:t>different</w:t>
      </w:r>
      <w:r w:rsidR="161C798E" w:rsidRPr="450D07DD">
        <w:rPr>
          <w:lang w:val="en-GB"/>
        </w:rPr>
        <w:t xml:space="preserve"> </w:t>
      </w:r>
      <w:r w:rsidR="00874432" w:rsidRPr="450D07DD">
        <w:rPr>
          <w:lang w:val="en-GB"/>
        </w:rPr>
        <w:t>stakeholder</w:t>
      </w:r>
      <w:r w:rsidR="00635212">
        <w:rPr>
          <w:lang w:val="en-GB"/>
        </w:rPr>
        <w:t>s</w:t>
      </w:r>
      <w:r w:rsidR="00874432" w:rsidRPr="00874432">
        <w:rPr>
          <w:lang w:val="en-GB"/>
        </w:rPr>
        <w:t>. </w:t>
      </w:r>
      <w:r w:rsidR="00635212" w:rsidRPr="00271910">
        <w:rPr>
          <w:lang w:val="en-GB"/>
        </w:rPr>
        <w:t xml:space="preserve">For example, a first draft may be developed by </w:t>
      </w:r>
      <w:r w:rsidR="00635212">
        <w:rPr>
          <w:lang w:val="en-GB"/>
        </w:rPr>
        <w:t>the Focal Point</w:t>
      </w:r>
      <w:r w:rsidR="0063344F">
        <w:rPr>
          <w:lang w:val="en-GB"/>
        </w:rPr>
        <w:t xml:space="preserve"> and immediate colleagues</w:t>
      </w:r>
      <w:r w:rsidR="00635212" w:rsidRPr="00271910">
        <w:rPr>
          <w:lang w:val="en-GB"/>
        </w:rPr>
        <w:t>, a second draft discussed within a group of government institutions, and a third draft endorsed by other stakeholder</w:t>
      </w:r>
      <w:r w:rsidR="00635212">
        <w:rPr>
          <w:lang w:val="en-GB"/>
        </w:rPr>
        <w:t>s.</w:t>
      </w:r>
    </w:p>
    <w:p w14:paraId="29CD4F88" w14:textId="3CE37E64" w:rsidR="00874432" w:rsidRDefault="00795FFC" w:rsidP="0071781E">
      <w:pPr>
        <w:pStyle w:val="Body"/>
        <w:numPr>
          <w:ilvl w:val="1"/>
          <w:numId w:val="2"/>
        </w:numPr>
        <w:contextualSpacing/>
        <w:rPr>
          <w:lang w:val="en-GB"/>
        </w:rPr>
      </w:pPr>
      <w:r w:rsidRPr="00B93F74">
        <w:rPr>
          <w:u w:val="single"/>
          <w:lang w:val="en-GB"/>
        </w:rPr>
        <w:t>in parallel</w:t>
      </w:r>
      <w:r w:rsidR="00874432" w:rsidRPr="00B93F74">
        <w:rPr>
          <w:u w:val="single"/>
          <w:lang w:val="en-GB"/>
        </w:rPr>
        <w:t>:</w:t>
      </w:r>
      <w:r w:rsidR="00874432">
        <w:rPr>
          <w:lang w:val="en-GB"/>
        </w:rPr>
        <w:t xml:space="preserve"> </w:t>
      </w:r>
      <w:r w:rsidR="00874432" w:rsidRPr="00874432">
        <w:rPr>
          <w:lang w:val="en-GB"/>
        </w:rPr>
        <w:t>different stakeholder</w:t>
      </w:r>
      <w:r w:rsidR="00635212">
        <w:rPr>
          <w:lang w:val="en-GB"/>
        </w:rPr>
        <w:t>s</w:t>
      </w:r>
      <w:r w:rsidR="00874432" w:rsidRPr="00874432">
        <w:rPr>
          <w:lang w:val="en-GB"/>
        </w:rPr>
        <w:t xml:space="preserve"> fill out </w:t>
      </w:r>
      <w:r w:rsidR="00874432">
        <w:rPr>
          <w:lang w:val="en-GB"/>
        </w:rPr>
        <w:t xml:space="preserve">the </w:t>
      </w:r>
      <w:r w:rsidR="00874432" w:rsidRPr="00874432">
        <w:rPr>
          <w:lang w:val="en-GB"/>
        </w:rPr>
        <w:t>survey,</w:t>
      </w:r>
      <w:r w:rsidR="00B93F74">
        <w:rPr>
          <w:lang w:val="en-GB"/>
        </w:rPr>
        <w:t xml:space="preserve"> </w:t>
      </w:r>
      <w:r w:rsidR="00874432" w:rsidRPr="00874432">
        <w:rPr>
          <w:lang w:val="en-GB"/>
        </w:rPr>
        <w:t>responses</w:t>
      </w:r>
      <w:r w:rsidR="00874432">
        <w:rPr>
          <w:lang w:val="en-GB"/>
        </w:rPr>
        <w:t xml:space="preserve"> are</w:t>
      </w:r>
      <w:r w:rsidR="00874432" w:rsidRPr="00874432">
        <w:rPr>
          <w:lang w:val="en-GB"/>
        </w:rPr>
        <w:t xml:space="preserve"> analysed by</w:t>
      </w:r>
      <w:r w:rsidR="00874432">
        <w:rPr>
          <w:lang w:val="en-GB"/>
        </w:rPr>
        <w:t xml:space="preserve"> the</w:t>
      </w:r>
      <w:r w:rsidR="00874432" w:rsidRPr="00874432">
        <w:rPr>
          <w:lang w:val="en-GB"/>
        </w:rPr>
        <w:t xml:space="preserve"> Focal Point</w:t>
      </w:r>
      <w:r w:rsidR="000C49FD">
        <w:rPr>
          <w:lang w:val="en-GB"/>
        </w:rPr>
        <w:t xml:space="preserve"> and colleagues</w:t>
      </w:r>
      <w:r w:rsidR="00874432" w:rsidRPr="00874432">
        <w:rPr>
          <w:lang w:val="en-GB"/>
        </w:rPr>
        <w:t>, then</w:t>
      </w:r>
      <w:r w:rsidR="00874432">
        <w:rPr>
          <w:lang w:val="en-GB"/>
        </w:rPr>
        <w:t xml:space="preserve"> all parties discuss to reach</w:t>
      </w:r>
      <w:r w:rsidR="00874432" w:rsidRPr="00874432">
        <w:rPr>
          <w:lang w:val="en-GB"/>
        </w:rPr>
        <w:t xml:space="preserve"> consensus on scores.</w:t>
      </w:r>
    </w:p>
    <w:p w14:paraId="1F32F7A7" w14:textId="63F579FF" w:rsidR="00795FFC" w:rsidRPr="00795FFC" w:rsidRDefault="00795FFC" w:rsidP="0071781E">
      <w:pPr>
        <w:pStyle w:val="Body"/>
        <w:numPr>
          <w:ilvl w:val="0"/>
          <w:numId w:val="2"/>
        </w:numPr>
        <w:ind w:left="714" w:hanging="357"/>
        <w:contextualSpacing/>
        <w:rPr>
          <w:lang w:val="en-GB"/>
        </w:rPr>
      </w:pPr>
      <w:r w:rsidRPr="00EC4A87">
        <w:rPr>
          <w:b/>
          <w:bCs/>
          <w:lang w:val="en-GB"/>
        </w:rPr>
        <w:t>Format:</w:t>
      </w:r>
      <w:r w:rsidRPr="568FBF53">
        <w:rPr>
          <w:lang w:val="en-GB"/>
        </w:rPr>
        <w:t xml:space="preserve"> </w:t>
      </w:r>
      <w:r w:rsidR="00635212">
        <w:rPr>
          <w:lang w:val="en-GB"/>
        </w:rPr>
        <w:t xml:space="preserve">stakeholder consultations can be held </w:t>
      </w:r>
      <w:r w:rsidRPr="568FBF53">
        <w:rPr>
          <w:lang w:val="en-GB"/>
        </w:rPr>
        <w:t xml:space="preserve">in-person, online, or a blend of both. </w:t>
      </w:r>
    </w:p>
    <w:p w14:paraId="69BAFCA7" w14:textId="5B562984" w:rsidR="00635212" w:rsidRDefault="00795FFC" w:rsidP="0071781E">
      <w:pPr>
        <w:pStyle w:val="Body"/>
        <w:numPr>
          <w:ilvl w:val="0"/>
          <w:numId w:val="2"/>
        </w:numPr>
        <w:ind w:left="714" w:hanging="357"/>
        <w:rPr>
          <w:lang w:val="en-GB"/>
        </w:rPr>
      </w:pPr>
      <w:r w:rsidRPr="00EC4A87">
        <w:rPr>
          <w:b/>
          <w:bCs/>
          <w:lang w:val="en-GB"/>
        </w:rPr>
        <w:t>Best practices:</w:t>
      </w:r>
      <w:r w:rsidRPr="568FBF53">
        <w:rPr>
          <w:lang w:val="en-GB"/>
        </w:rPr>
        <w:t xml:space="preserve"> make the consultation process inclusive, fair, consensus-based, and transparent. </w:t>
      </w:r>
    </w:p>
    <w:p w14:paraId="4A5D3408" w14:textId="12A9553F" w:rsidR="00635212" w:rsidRPr="00635212" w:rsidRDefault="00635212" w:rsidP="00905EB4">
      <w:pPr>
        <w:pStyle w:val="Body"/>
        <w:rPr>
          <w:lang w:val="en-GB"/>
        </w:rPr>
      </w:pPr>
      <w:r w:rsidRPr="568FBF53">
        <w:rPr>
          <w:lang w:val="en-GB"/>
        </w:rPr>
        <w:t>As various questions in the 6.5.1 survey relate to different aspects of water resources use and management, it is preferable that Focal Points responsible for other SDG 6 indicators, and other water-related indicators, are given the opportunity to participate in completing the survey.</w:t>
      </w:r>
      <w:r w:rsidRPr="00635212">
        <w:rPr>
          <w:lang w:val="en-GB"/>
        </w:rPr>
        <w:t xml:space="preserve"> </w:t>
      </w:r>
      <w:r w:rsidRPr="568FBF53">
        <w:rPr>
          <w:lang w:val="en-GB"/>
        </w:rPr>
        <w:t>Reporting on all SDG 6 indicators is coordinated by UN-Water through the Integrated Monitoring Initiative for SDG 6 (</w:t>
      </w:r>
      <w:hyperlink r:id="rId16">
        <w:r w:rsidRPr="568FBF53">
          <w:rPr>
            <w:rStyle w:val="Hyperlink"/>
            <w:lang w:val="en-GB"/>
          </w:rPr>
          <w:t>IMI-SDG6</w:t>
        </w:r>
      </w:hyperlink>
      <w:r w:rsidRPr="568FBF53">
        <w:rPr>
          <w:lang w:val="en-GB"/>
        </w:rPr>
        <w:t xml:space="preserve">). Under the initiative, most countries have “Overall Focal Points” (OFPs) for SDG 6, and “Technical Focal Points” (TFPs) for each indicator. Contact details of OFPs and TFPs are available on request through the </w:t>
      </w:r>
      <w:hyperlink r:id="rId17">
        <w:r w:rsidRPr="568FBF53">
          <w:rPr>
            <w:rStyle w:val="Hyperlink"/>
            <w:lang w:val="en-GB"/>
          </w:rPr>
          <w:t>Help Desk</w:t>
        </w:r>
      </w:hyperlink>
      <w:r w:rsidRPr="568FBF53">
        <w:rPr>
          <w:lang w:val="en-GB"/>
        </w:rPr>
        <w:t xml:space="preserve">. A list of which survey questions are particularly related to other SDG indicators is provided in </w:t>
      </w:r>
      <w:hyperlink w:anchor="_ANNEX_2:_6.5.1">
        <w:r w:rsidRPr="007E70AF">
          <w:rPr>
            <w:rStyle w:val="Hyperlink"/>
            <w:lang w:val="en-GB"/>
          </w:rPr>
          <w:t xml:space="preserve">Annex </w:t>
        </w:r>
        <w:r w:rsidR="00FE0727">
          <w:rPr>
            <w:rStyle w:val="Hyperlink"/>
            <w:lang w:val="en-GB"/>
          </w:rPr>
          <w:t>2</w:t>
        </w:r>
      </w:hyperlink>
      <w:r w:rsidRPr="568FBF53">
        <w:rPr>
          <w:lang w:val="en-GB"/>
        </w:rPr>
        <w:t>.</w:t>
      </w:r>
    </w:p>
    <w:p w14:paraId="29764F50" w14:textId="40EC67A4" w:rsidR="00847689" w:rsidRDefault="00635212" w:rsidP="00905EB4">
      <w:pPr>
        <w:pStyle w:val="Body"/>
        <w:rPr>
          <w:lang w:val="en-GB"/>
        </w:rPr>
      </w:pPr>
      <w:r>
        <w:rPr>
          <w:lang w:val="en-GB"/>
        </w:rPr>
        <w:t>For countries wishing to hold a more extensive stakeholder consultation process, f</w:t>
      </w:r>
      <w:r w:rsidR="00795FFC" w:rsidRPr="17515CB1">
        <w:rPr>
          <w:lang w:val="en-GB"/>
        </w:rPr>
        <w:t xml:space="preserve">urther information and guidance are provided in the </w:t>
      </w:r>
      <w:hyperlink r:id="rId18">
        <w:r w:rsidR="00795FFC" w:rsidRPr="17515CB1">
          <w:rPr>
            <w:rStyle w:val="Hyperlink"/>
            <w:lang w:val="en-GB"/>
          </w:rPr>
          <w:t>Stakeholder Consultation Manual</w:t>
        </w:r>
      </w:hyperlink>
      <w:r w:rsidR="00795FFC" w:rsidRPr="17515CB1">
        <w:rPr>
          <w:lang w:val="en-GB"/>
        </w:rPr>
        <w:t xml:space="preserve">, which also includes an example </w:t>
      </w:r>
      <w:r w:rsidR="00633EB0" w:rsidRPr="00271910">
        <w:rPr>
          <w:lang w:val="en-US"/>
        </w:rPr>
        <w:t>Workshop Agenda</w:t>
      </w:r>
      <w:r w:rsidR="0023586E">
        <w:rPr>
          <w:lang w:val="en-GB"/>
        </w:rPr>
        <w:t xml:space="preserve"> </w:t>
      </w:r>
      <w:r w:rsidR="00795FFC" w:rsidRPr="17515CB1">
        <w:rPr>
          <w:lang w:val="en-GB"/>
        </w:rPr>
        <w:t xml:space="preserve">and </w:t>
      </w:r>
      <w:r w:rsidR="00795FFC" w:rsidRPr="00633EB0">
        <w:rPr>
          <w:lang w:val="en-GB"/>
        </w:rPr>
        <w:t>Terms of Reference (</w:t>
      </w:r>
      <w:proofErr w:type="spellStart"/>
      <w:r w:rsidR="00795FFC" w:rsidRPr="00633EB0">
        <w:rPr>
          <w:lang w:val="en-GB"/>
        </w:rPr>
        <w:t>ToR</w:t>
      </w:r>
      <w:proofErr w:type="spellEnd"/>
      <w:r w:rsidR="00795FFC" w:rsidRPr="00633EB0">
        <w:rPr>
          <w:lang w:val="en-GB"/>
        </w:rPr>
        <w:t>) for a Facilitator</w:t>
      </w:r>
      <w:r w:rsidR="00795FFC" w:rsidRPr="17515CB1">
        <w:rPr>
          <w:lang w:val="en-GB"/>
        </w:rPr>
        <w:t xml:space="preserve">. Additional tools and materials include: </w:t>
      </w:r>
      <w:r w:rsidR="00795FFC" w:rsidRPr="00633EB0">
        <w:rPr>
          <w:lang w:val="en-GB"/>
        </w:rPr>
        <w:t>one-page survey overview</w:t>
      </w:r>
      <w:r w:rsidR="00795FFC" w:rsidRPr="17515CB1">
        <w:rPr>
          <w:lang w:val="en-GB"/>
        </w:rPr>
        <w:t xml:space="preserve">; </w:t>
      </w:r>
      <w:r w:rsidR="00795FFC" w:rsidRPr="00633EB0">
        <w:rPr>
          <w:lang w:val="en-GB"/>
        </w:rPr>
        <w:t>online IWRM survey tool</w:t>
      </w:r>
      <w:r w:rsidR="00795FFC" w:rsidRPr="17515CB1">
        <w:rPr>
          <w:lang w:val="en-GB"/>
        </w:rPr>
        <w:t xml:space="preserve">; </w:t>
      </w:r>
      <w:hyperlink r:id="rId19" w:history="1">
        <w:r w:rsidR="00795FFC" w:rsidRPr="00633EB0">
          <w:rPr>
            <w:rStyle w:val="Hyperlink"/>
            <w:lang w:val="en-GB"/>
          </w:rPr>
          <w:t>2017</w:t>
        </w:r>
        <w:r w:rsidR="00640F4C" w:rsidRPr="00633EB0">
          <w:rPr>
            <w:rStyle w:val="Hyperlink"/>
            <w:lang w:val="en-GB"/>
          </w:rPr>
          <w:t>,</w:t>
        </w:r>
        <w:r w:rsidR="00CF6BE0" w:rsidRPr="1B7ADB4A">
          <w:rPr>
            <w:rStyle w:val="Hyperlink"/>
            <w:lang w:val="en-GB"/>
          </w:rPr>
          <w:t xml:space="preserve"> </w:t>
        </w:r>
        <w:r w:rsidR="00795FFC" w:rsidRPr="00633EB0">
          <w:rPr>
            <w:rStyle w:val="Hyperlink"/>
            <w:lang w:val="en-GB"/>
          </w:rPr>
          <w:t>2020</w:t>
        </w:r>
        <w:r w:rsidR="00640F4C" w:rsidRPr="00633EB0">
          <w:rPr>
            <w:rStyle w:val="Hyperlink"/>
            <w:lang w:val="en-GB"/>
          </w:rPr>
          <w:t xml:space="preserve"> and 2023</w:t>
        </w:r>
        <w:r w:rsidR="00795FFC" w:rsidRPr="00633EB0">
          <w:rPr>
            <w:rStyle w:val="Hyperlink"/>
            <w:lang w:val="en-GB"/>
          </w:rPr>
          <w:t xml:space="preserve"> two-page country summaries</w:t>
        </w:r>
      </w:hyperlink>
      <w:r w:rsidR="00795FFC" w:rsidRPr="17515CB1">
        <w:rPr>
          <w:lang w:val="en-GB"/>
        </w:rPr>
        <w:t xml:space="preserve">; </w:t>
      </w:r>
      <w:hyperlink r:id="rId20" w:history="1">
        <w:r w:rsidR="24B61AF7" w:rsidRPr="002D68D4">
          <w:rPr>
            <w:rStyle w:val="Hyperlink"/>
            <w:rFonts w:ascii="Calibri" w:eastAsia="Calibri" w:hAnsi="Calibri" w:cs="Calibri"/>
            <w:color w:val="8EC044"/>
            <w:szCs w:val="22"/>
            <w:lang w:val="en-GB"/>
          </w:rPr>
          <w:t>SDG 6.5.1 Reporting Training</w:t>
        </w:r>
      </w:hyperlink>
      <w:r w:rsidR="002D68D4" w:rsidRPr="000751FD">
        <w:rPr>
          <w:szCs w:val="22"/>
          <w:lang w:val="en-US"/>
        </w:rPr>
        <w:t xml:space="preserve"> </w:t>
      </w:r>
      <w:r w:rsidR="00795FFC" w:rsidRPr="002D68D4">
        <w:rPr>
          <w:szCs w:val="22"/>
          <w:lang w:val="en-GB"/>
        </w:rPr>
        <w:t>(</w:t>
      </w:r>
      <w:r w:rsidR="00795FFC" w:rsidRPr="17515CB1">
        <w:rPr>
          <w:lang w:val="en-GB"/>
        </w:rPr>
        <w:t>free, self-paced online course on running stakeholder consultations, available in English, French and Spanish, approximately 4-6 hours commitment)</w:t>
      </w:r>
      <w:r w:rsidR="00795FFC" w:rsidRPr="00633EB0">
        <w:rPr>
          <w:lang w:val="en-GB"/>
        </w:rPr>
        <w:t xml:space="preserve">; </w:t>
      </w:r>
      <w:r w:rsidR="002D68D4">
        <w:rPr>
          <w:lang w:val="en-GB"/>
        </w:rPr>
        <w:t xml:space="preserve">and the </w:t>
      </w:r>
      <w:r w:rsidR="00795FFC" w:rsidRPr="00633EB0">
        <w:rPr>
          <w:lang w:val="en-GB"/>
        </w:rPr>
        <w:t>gend</w:t>
      </w:r>
      <w:r w:rsidR="00795FFC" w:rsidRPr="17515CB1">
        <w:rPr>
          <w:lang w:val="en-GB"/>
        </w:rPr>
        <w:t>er checklist</w:t>
      </w:r>
      <w:r w:rsidR="00DC3EAE">
        <w:rPr>
          <w:lang w:val="en-GB"/>
        </w:rPr>
        <w:t>.</w:t>
      </w:r>
    </w:p>
    <w:p w14:paraId="3605B714" w14:textId="5C16BDD5" w:rsidR="00067447" w:rsidRPr="00922127" w:rsidRDefault="00922127" w:rsidP="00922127">
      <w:pPr>
        <w:rPr>
          <w:color w:val="12354E" w:themeColor="accent1" w:themeShade="BF"/>
          <w:sz w:val="22"/>
        </w:rPr>
      </w:pPr>
      <w:r>
        <w:br w:type="page"/>
      </w:r>
    </w:p>
    <w:p w14:paraId="5078AE7A" w14:textId="130B5DF0" w:rsidR="00F77B7F" w:rsidRDefault="00736ECA" w:rsidP="00C728B2">
      <w:pPr>
        <w:pStyle w:val="Heading1"/>
        <w:spacing w:after="0"/>
        <w:ind w:left="431" w:hanging="431"/>
      </w:pPr>
      <w:bookmarkStart w:id="5" w:name="_Toc219452825"/>
      <w:bookmarkStart w:id="6" w:name="_Hlk218516917"/>
      <w:r>
        <w:lastRenderedPageBreak/>
        <w:t xml:space="preserve">SURVEY </w:t>
      </w:r>
      <w:r w:rsidR="00F80D92">
        <w:t>OVERVIEW</w:t>
      </w:r>
      <w:r w:rsidR="00922127">
        <w:t xml:space="preserve"> AND</w:t>
      </w:r>
      <w:r w:rsidR="00F80D92">
        <w:t xml:space="preserve"> </w:t>
      </w:r>
      <w:r w:rsidR="001A69EC">
        <w:t>UPDATING</w:t>
      </w:r>
      <w:r w:rsidR="00F80D92">
        <w:t xml:space="preserve"> THE SURVEY</w:t>
      </w:r>
      <w:bookmarkEnd w:id="5"/>
    </w:p>
    <w:p w14:paraId="16318A0A" w14:textId="34B4FE3F" w:rsidR="00D50946" w:rsidRDefault="00736ECA" w:rsidP="007762FC">
      <w:pPr>
        <w:pStyle w:val="Heading2"/>
        <w:spacing w:before="0" w:after="0"/>
        <w:ind w:left="578" w:hanging="578"/>
        <w:rPr>
          <w:lang w:val="en-MY"/>
        </w:rPr>
      </w:pPr>
      <w:bookmarkStart w:id="7" w:name="_Toc219452826"/>
      <w:bookmarkEnd w:id="6"/>
      <w:r>
        <w:rPr>
          <w:lang w:val="en-MY"/>
        </w:rPr>
        <w:t xml:space="preserve">Survey </w:t>
      </w:r>
      <w:r w:rsidR="0012681D" w:rsidRPr="00271910">
        <w:rPr>
          <w:lang w:val="en-MY"/>
        </w:rPr>
        <w:t>Overview</w:t>
      </w:r>
      <w:bookmarkEnd w:id="7"/>
      <w:r w:rsidR="0012681D" w:rsidRPr="00271910">
        <w:rPr>
          <w:lang w:val="en-MY"/>
        </w:rPr>
        <w:t xml:space="preserve"> </w:t>
      </w:r>
    </w:p>
    <w:p w14:paraId="0085598B" w14:textId="0BDF1398" w:rsidR="00F80D92" w:rsidRPr="00271910" w:rsidRDefault="0012681D" w:rsidP="001D300C">
      <w:pPr>
        <w:pStyle w:val="Body"/>
        <w:jc w:val="both"/>
        <w:rPr>
          <w:lang w:val="en-US"/>
        </w:rPr>
      </w:pPr>
      <w:r w:rsidRPr="00271910">
        <w:rPr>
          <w:lang w:val="en-GB"/>
        </w:rPr>
        <w:t>Below is an overview of a</w:t>
      </w:r>
      <w:r w:rsidR="00F80D92" w:rsidRPr="00271910">
        <w:rPr>
          <w:lang w:val="en-GB"/>
        </w:rPr>
        <w:t xml:space="preserve">ll </w:t>
      </w:r>
      <w:r w:rsidRPr="00271910">
        <w:rPr>
          <w:lang w:val="en-GB"/>
        </w:rPr>
        <w:t>s</w:t>
      </w:r>
      <w:r w:rsidR="00F80D92" w:rsidRPr="00271910">
        <w:rPr>
          <w:lang w:val="en-GB"/>
        </w:rPr>
        <w:t>ections</w:t>
      </w:r>
      <w:r w:rsidR="006C5FCF">
        <w:rPr>
          <w:lang w:val="en-GB"/>
        </w:rPr>
        <w:t xml:space="preserve"> and</w:t>
      </w:r>
      <w:r w:rsidR="00B53DC4" w:rsidRPr="00271910">
        <w:rPr>
          <w:lang w:val="en-GB"/>
        </w:rPr>
        <w:t xml:space="preserve"> </w:t>
      </w:r>
      <w:r w:rsidRPr="00271910">
        <w:rPr>
          <w:lang w:val="en-GB"/>
        </w:rPr>
        <w:t>questions</w:t>
      </w:r>
      <w:r w:rsidR="00F80D92" w:rsidRPr="00271910">
        <w:rPr>
          <w:lang w:val="en-GB"/>
        </w:rPr>
        <w:t xml:space="preserve"> </w:t>
      </w:r>
      <w:r w:rsidRPr="00271910">
        <w:rPr>
          <w:lang w:val="en-GB"/>
        </w:rPr>
        <w:t>i</w:t>
      </w:r>
      <w:r w:rsidR="00F80D92" w:rsidRPr="00271910">
        <w:rPr>
          <w:lang w:val="en-GB"/>
        </w:rPr>
        <w:t xml:space="preserve">ncluded in the </w:t>
      </w:r>
      <w:r w:rsidR="00034016">
        <w:rPr>
          <w:lang w:val="en-GB"/>
        </w:rPr>
        <w:t xml:space="preserve">6.5.1 </w:t>
      </w:r>
      <w:r w:rsidRPr="00271910">
        <w:rPr>
          <w:lang w:val="en-GB"/>
        </w:rPr>
        <w:t>s</w:t>
      </w:r>
      <w:r w:rsidR="00F80D92" w:rsidRPr="00271910">
        <w:rPr>
          <w:lang w:val="en-GB"/>
        </w:rPr>
        <w:t>urvey.</w:t>
      </w:r>
    </w:p>
    <w:tbl>
      <w:tblPr>
        <w:tblStyle w:val="TableGrid1"/>
        <w:tblW w:w="91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172"/>
      </w:tblGrid>
      <w:tr w:rsidR="00F80D92" w:rsidRPr="000278CB" w14:paraId="200DC301" w14:textId="77777777" w:rsidTr="00641774">
        <w:tc>
          <w:tcPr>
            <w:tcW w:w="9172" w:type="dxa"/>
            <w:tcBorders>
              <w:top w:val="single" w:sz="4" w:space="0" w:color="000000" w:themeColor="text1"/>
            </w:tcBorders>
            <w:shd w:val="clear" w:color="auto" w:fill="E2EFD9"/>
          </w:tcPr>
          <w:p w14:paraId="32311560" w14:textId="77777777" w:rsidR="00F80D92" w:rsidRPr="00903831" w:rsidRDefault="00F80D92">
            <w:pPr>
              <w:rPr>
                <w:rFonts w:ascii="Calibri" w:eastAsia="Calibri" w:hAnsi="Calibri" w:cs="Arial"/>
                <w:bCs/>
                <w:sz w:val="20"/>
              </w:rPr>
            </w:pPr>
            <w:r w:rsidRPr="00903831">
              <w:rPr>
                <w:rFonts w:ascii="Calibri" w:eastAsia="Calibri" w:hAnsi="Calibri" w:cs="Arial"/>
                <w:bCs/>
                <w:sz w:val="20"/>
              </w:rPr>
              <w:t>SECTION 1: ENABLING ENVIRONMENT</w:t>
            </w:r>
          </w:p>
        </w:tc>
      </w:tr>
      <w:tr w:rsidR="00F80D92" w:rsidRPr="000278CB" w14:paraId="2AE2468A" w14:textId="77777777" w:rsidTr="00641774">
        <w:tc>
          <w:tcPr>
            <w:tcW w:w="9172" w:type="dxa"/>
          </w:tcPr>
          <w:p w14:paraId="4AFEC542" w14:textId="77777777" w:rsidR="00F80D92" w:rsidRPr="00C31534" w:rsidRDefault="00F80D92" w:rsidP="0071781E">
            <w:pPr>
              <w:numPr>
                <w:ilvl w:val="1"/>
                <w:numId w:val="5"/>
              </w:numPr>
              <w:contextualSpacing/>
              <w:rPr>
                <w:rFonts w:ascii="Calibri" w:eastAsia="Calibri" w:hAnsi="Calibri" w:cs="Arial"/>
                <w:sz w:val="20"/>
                <w:szCs w:val="20"/>
                <w:lang w:val="en-US"/>
              </w:rPr>
            </w:pPr>
            <w:r w:rsidRPr="00C31534">
              <w:rPr>
                <w:rFonts w:ascii="Calibri" w:eastAsia="Calibri" w:hAnsi="Calibri" w:cs="Arial"/>
                <w:sz w:val="20"/>
                <w:szCs w:val="20"/>
                <w:lang w:val="en-US"/>
              </w:rPr>
              <w:t xml:space="preserve">Status of policies, laws and plans to support IWRM at the </w:t>
            </w:r>
            <w:r w:rsidRPr="00C31534">
              <w:rPr>
                <w:rFonts w:ascii="Calibri" w:eastAsia="Calibri" w:hAnsi="Calibri" w:cs="Arial"/>
                <w:b/>
                <w:sz w:val="20"/>
                <w:szCs w:val="20"/>
                <w:lang w:val="en-US"/>
              </w:rPr>
              <w:t>national level</w:t>
            </w:r>
            <w:r w:rsidRPr="00C31534">
              <w:rPr>
                <w:rFonts w:ascii="Calibri" w:eastAsia="Calibri" w:hAnsi="Calibri" w:cs="Arial"/>
                <w:sz w:val="20"/>
                <w:szCs w:val="20"/>
                <w:lang w:val="en-US"/>
              </w:rPr>
              <w:t>:</w:t>
            </w:r>
          </w:p>
        </w:tc>
      </w:tr>
      <w:tr w:rsidR="00F80D92" w:rsidRPr="000278CB" w14:paraId="5F4076FD" w14:textId="77777777" w:rsidTr="00641774">
        <w:tc>
          <w:tcPr>
            <w:tcW w:w="9172" w:type="dxa"/>
          </w:tcPr>
          <w:p w14:paraId="45B8D7ED" w14:textId="62D413CA" w:rsidR="00F80D92" w:rsidRPr="00C31534" w:rsidRDefault="00F80D92">
            <w:pPr>
              <w:spacing w:line="260" w:lineRule="exact"/>
              <w:ind w:left="591"/>
              <w:rPr>
                <w:rFonts w:ascii="Calibri" w:eastAsia="Calibri" w:hAnsi="Calibri" w:cs="Arial"/>
                <w:sz w:val="20"/>
                <w:szCs w:val="20"/>
                <w:lang w:val="en-US"/>
              </w:rPr>
            </w:pPr>
            <w:r w:rsidRPr="00C31534">
              <w:rPr>
                <w:rFonts w:ascii="Calibri" w:eastAsia="Calibri" w:hAnsi="Calibri" w:cs="Arial"/>
                <w:sz w:val="20"/>
                <w:szCs w:val="20"/>
                <w:lang w:val="en-US"/>
              </w:rPr>
              <w:t xml:space="preserve">1.1a National water resources </w:t>
            </w:r>
            <w:r w:rsidRPr="008F735C">
              <w:rPr>
                <w:rFonts w:ascii="Calibri" w:eastAsia="Calibri" w:hAnsi="Calibri" w:cs="Arial"/>
                <w:b/>
                <w:bCs/>
                <w:sz w:val="20"/>
                <w:szCs w:val="20"/>
                <w:lang w:val="en-US"/>
              </w:rPr>
              <w:t>policy</w:t>
            </w:r>
            <w:r w:rsidRPr="00C31534">
              <w:rPr>
                <w:rFonts w:ascii="Calibri" w:eastAsia="Calibri" w:hAnsi="Calibri" w:cs="Arial"/>
                <w:sz w:val="20"/>
                <w:szCs w:val="20"/>
                <w:lang w:val="en-US"/>
              </w:rPr>
              <w:t>, or similar</w:t>
            </w:r>
          </w:p>
        </w:tc>
      </w:tr>
      <w:tr w:rsidR="00F80D92" w:rsidRPr="000278CB" w14:paraId="70A5F027" w14:textId="77777777" w:rsidTr="00641774">
        <w:tc>
          <w:tcPr>
            <w:tcW w:w="9172" w:type="dxa"/>
          </w:tcPr>
          <w:p w14:paraId="4721A439" w14:textId="67532C58" w:rsidR="00F80D92" w:rsidRPr="00C31534" w:rsidRDefault="00F80D92">
            <w:pPr>
              <w:spacing w:line="260" w:lineRule="exact"/>
              <w:ind w:left="591"/>
              <w:rPr>
                <w:rFonts w:ascii="Calibri" w:eastAsia="Calibri" w:hAnsi="Calibri" w:cs="Arial"/>
                <w:sz w:val="20"/>
                <w:szCs w:val="20"/>
                <w:lang w:val="en-US"/>
              </w:rPr>
            </w:pPr>
            <w:r w:rsidRPr="00C31534">
              <w:rPr>
                <w:rFonts w:ascii="Calibri" w:eastAsia="Calibri" w:hAnsi="Calibri" w:cs="Arial"/>
                <w:sz w:val="20"/>
                <w:szCs w:val="20"/>
                <w:lang w:val="en-US"/>
              </w:rPr>
              <w:t>1.1b National water resources</w:t>
            </w:r>
            <w:r w:rsidRPr="008F735C">
              <w:rPr>
                <w:rFonts w:ascii="Calibri" w:eastAsia="Calibri" w:hAnsi="Calibri" w:cs="Arial"/>
                <w:b/>
                <w:bCs/>
                <w:sz w:val="20"/>
                <w:szCs w:val="20"/>
                <w:lang w:val="en-US"/>
              </w:rPr>
              <w:t xml:space="preserve"> laws</w:t>
            </w:r>
          </w:p>
        </w:tc>
      </w:tr>
      <w:tr w:rsidR="00F80D92" w:rsidRPr="000278CB" w14:paraId="3E49BB31" w14:textId="77777777" w:rsidTr="00641774">
        <w:tc>
          <w:tcPr>
            <w:tcW w:w="9172" w:type="dxa"/>
            <w:tcBorders>
              <w:bottom w:val="single" w:sz="4" w:space="0" w:color="BFBFBF" w:themeColor="background1" w:themeShade="BF"/>
            </w:tcBorders>
          </w:tcPr>
          <w:p w14:paraId="28FAF304" w14:textId="70A67F85" w:rsidR="00F80D92" w:rsidRPr="00C31534" w:rsidRDefault="00F80D92">
            <w:pPr>
              <w:spacing w:line="260" w:lineRule="exact"/>
              <w:ind w:left="591"/>
              <w:rPr>
                <w:rFonts w:ascii="Calibri" w:eastAsia="Calibri" w:hAnsi="Calibri" w:cs="Arial"/>
                <w:sz w:val="20"/>
                <w:szCs w:val="20"/>
                <w:lang w:val="en-US"/>
              </w:rPr>
            </w:pPr>
            <w:r w:rsidRPr="00C31534">
              <w:rPr>
                <w:rFonts w:ascii="Calibri" w:eastAsia="Calibri" w:hAnsi="Calibri" w:cs="Arial"/>
                <w:sz w:val="20"/>
                <w:szCs w:val="20"/>
                <w:lang w:val="en-US"/>
              </w:rPr>
              <w:t xml:space="preserve">1.1c National integrated water resources management (IWRM) </w:t>
            </w:r>
            <w:r w:rsidRPr="008F735C">
              <w:rPr>
                <w:rFonts w:ascii="Calibri" w:eastAsia="Calibri" w:hAnsi="Calibri" w:cs="Arial"/>
                <w:b/>
                <w:bCs/>
                <w:sz w:val="20"/>
                <w:szCs w:val="20"/>
                <w:lang w:val="en-US"/>
              </w:rPr>
              <w:t>plans</w:t>
            </w:r>
            <w:r w:rsidRPr="00C31534">
              <w:rPr>
                <w:rFonts w:ascii="Calibri" w:eastAsia="Calibri" w:hAnsi="Calibri" w:cs="Arial"/>
                <w:sz w:val="20"/>
                <w:szCs w:val="20"/>
                <w:lang w:val="en-US"/>
              </w:rPr>
              <w:t>, or similar</w:t>
            </w:r>
          </w:p>
        </w:tc>
      </w:tr>
      <w:tr w:rsidR="00F80D92" w:rsidRPr="000278CB" w14:paraId="4C832773" w14:textId="77777777" w:rsidTr="00641774">
        <w:tc>
          <w:tcPr>
            <w:tcW w:w="9172" w:type="dxa"/>
            <w:tcBorders>
              <w:top w:val="single" w:sz="4" w:space="0" w:color="BFBFBF" w:themeColor="background1" w:themeShade="BF"/>
            </w:tcBorders>
          </w:tcPr>
          <w:p w14:paraId="2D9F1F5E" w14:textId="77777777" w:rsidR="00F80D92" w:rsidRPr="00C31534" w:rsidRDefault="00F80D92">
            <w:pPr>
              <w:rPr>
                <w:rFonts w:ascii="Calibri" w:eastAsia="Calibri" w:hAnsi="Calibri" w:cs="Arial"/>
                <w:sz w:val="20"/>
                <w:szCs w:val="20"/>
                <w:lang w:val="en-US"/>
              </w:rPr>
            </w:pPr>
            <w:r w:rsidRPr="00C31534">
              <w:rPr>
                <w:rFonts w:ascii="Calibri" w:eastAsia="Calibri" w:hAnsi="Calibri" w:cs="Arial"/>
                <w:sz w:val="20"/>
                <w:szCs w:val="20"/>
                <w:lang w:val="en-US"/>
              </w:rPr>
              <w:t xml:space="preserve">1.2 Status of policies, laws and plans to support IWRM at </w:t>
            </w:r>
            <w:r w:rsidRPr="00C31534">
              <w:rPr>
                <w:rFonts w:ascii="Calibri" w:eastAsia="Calibri" w:hAnsi="Calibri" w:cs="Arial"/>
                <w:b/>
                <w:sz w:val="20"/>
                <w:szCs w:val="20"/>
                <w:lang w:val="en-US"/>
              </w:rPr>
              <w:t>other levels</w:t>
            </w:r>
            <w:r w:rsidRPr="00C31534">
              <w:rPr>
                <w:rFonts w:ascii="Calibri" w:eastAsia="Calibri" w:hAnsi="Calibri" w:cs="Arial"/>
                <w:sz w:val="20"/>
                <w:szCs w:val="20"/>
                <w:lang w:val="en-US"/>
              </w:rPr>
              <w:t>:</w:t>
            </w:r>
          </w:p>
        </w:tc>
      </w:tr>
      <w:tr w:rsidR="00F80D92" w:rsidRPr="000278CB" w14:paraId="6AE3AB5B" w14:textId="77777777" w:rsidTr="00641774">
        <w:tc>
          <w:tcPr>
            <w:tcW w:w="9172" w:type="dxa"/>
          </w:tcPr>
          <w:p w14:paraId="5E8D397F" w14:textId="77777777" w:rsidR="00F80D92" w:rsidRPr="00C31534" w:rsidRDefault="00F80D92">
            <w:pPr>
              <w:spacing w:line="260" w:lineRule="atLeast"/>
              <w:ind w:firstLine="591"/>
              <w:rPr>
                <w:rFonts w:ascii="Calibri" w:eastAsia="Calibri" w:hAnsi="Calibri" w:cs="Arial"/>
                <w:sz w:val="20"/>
                <w:szCs w:val="20"/>
                <w:lang w:val="en-US"/>
              </w:rPr>
            </w:pPr>
            <w:r w:rsidRPr="00C31534">
              <w:rPr>
                <w:rFonts w:ascii="Calibri" w:eastAsia="Calibri" w:hAnsi="Calibri" w:cs="Arial"/>
                <w:sz w:val="20"/>
                <w:szCs w:val="20"/>
                <w:lang w:val="en-US"/>
              </w:rPr>
              <w:t xml:space="preserve">1.2a </w:t>
            </w:r>
            <w:r w:rsidRPr="00C31534">
              <w:rPr>
                <w:rFonts w:ascii="Calibri" w:eastAsia="Calibri" w:hAnsi="Calibri" w:cs="Arial"/>
                <w:b/>
                <w:bCs/>
                <w:sz w:val="20"/>
                <w:szCs w:val="20"/>
                <w:lang w:val="en-US"/>
              </w:rPr>
              <w:t>Sub-national</w:t>
            </w:r>
            <w:r w:rsidRPr="00C31534">
              <w:rPr>
                <w:rFonts w:ascii="Calibri" w:eastAsia="Calibri" w:hAnsi="Calibri" w:cs="Arial"/>
                <w:sz w:val="20"/>
                <w:szCs w:val="20"/>
                <w:lang w:val="en-US"/>
              </w:rPr>
              <w:t xml:space="preserve"> water resources </w:t>
            </w:r>
            <w:r w:rsidRPr="00C31534">
              <w:rPr>
                <w:rFonts w:ascii="Calibri" w:eastAsia="Calibri" w:hAnsi="Calibri" w:cs="Arial"/>
                <w:b/>
                <w:bCs/>
                <w:sz w:val="20"/>
                <w:szCs w:val="20"/>
                <w:lang w:val="en-US"/>
              </w:rPr>
              <w:t>policies</w:t>
            </w:r>
            <w:r w:rsidRPr="00C31534">
              <w:rPr>
                <w:rFonts w:ascii="Calibri" w:eastAsia="Calibri" w:hAnsi="Calibri" w:cs="Arial"/>
                <w:sz w:val="20"/>
                <w:szCs w:val="20"/>
                <w:lang w:val="en-US"/>
              </w:rPr>
              <w:t xml:space="preserve"> or similar</w:t>
            </w:r>
          </w:p>
        </w:tc>
      </w:tr>
      <w:tr w:rsidR="00F80D92" w:rsidRPr="000278CB" w14:paraId="7A532B92" w14:textId="77777777" w:rsidTr="00641774">
        <w:tc>
          <w:tcPr>
            <w:tcW w:w="9172" w:type="dxa"/>
          </w:tcPr>
          <w:p w14:paraId="3B31A351" w14:textId="77777777" w:rsidR="00F80D92" w:rsidRPr="00C31534" w:rsidRDefault="00F80D92">
            <w:pPr>
              <w:spacing w:line="260" w:lineRule="atLeast"/>
              <w:ind w:firstLine="591"/>
              <w:rPr>
                <w:rFonts w:ascii="Calibri" w:eastAsia="Calibri" w:hAnsi="Calibri" w:cs="Arial"/>
                <w:sz w:val="20"/>
                <w:szCs w:val="20"/>
                <w:lang w:val="en-US"/>
              </w:rPr>
            </w:pPr>
            <w:r w:rsidRPr="00C31534">
              <w:rPr>
                <w:rFonts w:ascii="Calibri" w:eastAsia="Calibri" w:hAnsi="Calibri" w:cs="Arial"/>
                <w:sz w:val="20"/>
                <w:szCs w:val="20"/>
                <w:lang w:val="en-US"/>
              </w:rPr>
              <w:t xml:space="preserve">1.2b </w:t>
            </w:r>
            <w:r w:rsidRPr="00C31534">
              <w:rPr>
                <w:rFonts w:ascii="Calibri" w:eastAsia="Calibri" w:hAnsi="Calibri" w:cs="Arial"/>
                <w:b/>
                <w:bCs/>
                <w:sz w:val="20"/>
                <w:szCs w:val="20"/>
                <w:lang w:val="en-US"/>
              </w:rPr>
              <w:t>Basin/aquifer</w:t>
            </w:r>
            <w:r w:rsidRPr="00C31534">
              <w:rPr>
                <w:rFonts w:ascii="Calibri" w:eastAsia="Calibri" w:hAnsi="Calibri" w:cs="Arial"/>
                <w:sz w:val="20"/>
                <w:szCs w:val="20"/>
                <w:lang w:val="en-US"/>
              </w:rPr>
              <w:t xml:space="preserve"> management </w:t>
            </w:r>
            <w:r w:rsidRPr="00C31534">
              <w:rPr>
                <w:rFonts w:ascii="Calibri" w:eastAsia="Calibri" w:hAnsi="Calibri" w:cs="Arial"/>
                <w:b/>
                <w:bCs/>
                <w:sz w:val="20"/>
                <w:szCs w:val="20"/>
                <w:lang w:val="en-US"/>
              </w:rPr>
              <w:t>plans</w:t>
            </w:r>
            <w:r w:rsidRPr="00C31534">
              <w:rPr>
                <w:rFonts w:ascii="Calibri" w:eastAsia="Calibri" w:hAnsi="Calibri" w:cs="Arial"/>
                <w:sz w:val="20"/>
                <w:szCs w:val="20"/>
                <w:lang w:val="en-US"/>
              </w:rPr>
              <w:t xml:space="preserve"> or similar, based on IWRM</w:t>
            </w:r>
          </w:p>
        </w:tc>
      </w:tr>
      <w:tr w:rsidR="00F80D92" w:rsidRPr="000278CB" w14:paraId="2992CF19" w14:textId="77777777" w:rsidTr="00641774">
        <w:tc>
          <w:tcPr>
            <w:tcW w:w="9172" w:type="dxa"/>
          </w:tcPr>
          <w:p w14:paraId="63BB7560" w14:textId="6E323324" w:rsidR="00F80D92" w:rsidRPr="00C31534" w:rsidRDefault="00F80D92">
            <w:pPr>
              <w:spacing w:line="260" w:lineRule="atLeast"/>
              <w:ind w:firstLine="591"/>
              <w:rPr>
                <w:rFonts w:ascii="Calibri" w:eastAsia="Calibri" w:hAnsi="Calibri" w:cs="Arial"/>
                <w:sz w:val="20"/>
                <w:szCs w:val="20"/>
                <w:lang w:val="en-US"/>
              </w:rPr>
            </w:pPr>
            <w:r w:rsidRPr="00C31534">
              <w:rPr>
                <w:rFonts w:ascii="Calibri" w:eastAsia="Calibri" w:hAnsi="Calibri" w:cs="Arial"/>
                <w:sz w:val="20"/>
                <w:szCs w:val="20"/>
                <w:lang w:val="en-US"/>
              </w:rPr>
              <w:t xml:space="preserve">1.2c </w:t>
            </w:r>
            <w:r w:rsidRPr="00C31534">
              <w:rPr>
                <w:rFonts w:ascii="Calibri" w:eastAsia="Calibri" w:hAnsi="Calibri" w:cs="Arial"/>
                <w:b/>
                <w:bCs/>
                <w:sz w:val="20"/>
                <w:szCs w:val="20"/>
                <w:lang w:val="en-US"/>
              </w:rPr>
              <w:t>Agreements</w:t>
            </w:r>
            <w:r w:rsidRPr="00C31534">
              <w:rPr>
                <w:rFonts w:ascii="Calibri" w:eastAsia="Calibri" w:hAnsi="Calibri" w:cs="Arial"/>
                <w:sz w:val="20"/>
                <w:szCs w:val="20"/>
                <w:lang w:val="en-US"/>
              </w:rPr>
              <w:t xml:space="preserve"> for </w:t>
            </w:r>
            <w:r w:rsidRPr="00C31534">
              <w:rPr>
                <w:rFonts w:ascii="Calibri" w:eastAsia="Calibri" w:hAnsi="Calibri" w:cs="Arial"/>
                <w:b/>
                <w:bCs/>
                <w:sz w:val="20"/>
                <w:szCs w:val="20"/>
                <w:lang w:val="en-US"/>
              </w:rPr>
              <w:t>transboundary</w:t>
            </w:r>
            <w:r w:rsidRPr="00C31534">
              <w:rPr>
                <w:rFonts w:ascii="Calibri" w:eastAsia="Calibri" w:hAnsi="Calibri" w:cs="Arial"/>
                <w:sz w:val="20"/>
                <w:szCs w:val="20"/>
                <w:lang w:val="en-US"/>
              </w:rPr>
              <w:t xml:space="preserve"> water management</w:t>
            </w:r>
          </w:p>
        </w:tc>
      </w:tr>
      <w:tr w:rsidR="00F80D92" w:rsidRPr="000278CB" w14:paraId="5E749331"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nil"/>
              <w:left w:val="nil"/>
              <w:bottom w:val="single" w:sz="4" w:space="0" w:color="A5A5A5"/>
              <w:right w:val="nil"/>
            </w:tcBorders>
          </w:tcPr>
          <w:p w14:paraId="001FC927" w14:textId="3E76F379" w:rsidR="00F80D92" w:rsidRPr="00C31534" w:rsidRDefault="00F80D92">
            <w:pPr>
              <w:spacing w:line="260" w:lineRule="atLeast"/>
              <w:ind w:firstLine="591"/>
              <w:rPr>
                <w:rFonts w:ascii="Calibri" w:eastAsia="Calibri" w:hAnsi="Calibri" w:cs="Arial"/>
                <w:sz w:val="20"/>
                <w:szCs w:val="20"/>
                <w:lang w:val="en-US"/>
              </w:rPr>
            </w:pPr>
            <w:r w:rsidRPr="00C31534">
              <w:rPr>
                <w:rFonts w:ascii="Calibri" w:eastAsia="Calibri" w:hAnsi="Calibri" w:cs="Arial"/>
                <w:sz w:val="20"/>
                <w:szCs w:val="20"/>
                <w:lang w:val="en-US"/>
              </w:rPr>
              <w:t xml:space="preserve">1.2d Sub-national water resources </w:t>
            </w:r>
            <w:r w:rsidRPr="008F735C">
              <w:rPr>
                <w:rFonts w:ascii="Calibri" w:eastAsia="Calibri" w:hAnsi="Calibri" w:cs="Arial"/>
                <w:b/>
                <w:bCs/>
                <w:sz w:val="20"/>
                <w:szCs w:val="20"/>
                <w:lang w:val="en-US"/>
              </w:rPr>
              <w:t>regulations</w:t>
            </w:r>
            <w:r w:rsidRPr="00C31534">
              <w:rPr>
                <w:rFonts w:ascii="Calibri" w:eastAsia="Calibri" w:hAnsi="Calibri" w:cs="Arial"/>
                <w:sz w:val="20"/>
                <w:szCs w:val="20"/>
                <w:lang w:val="en-US"/>
              </w:rPr>
              <w:t xml:space="preserve"> (laws, decrees, ordinances or similar)</w:t>
            </w:r>
          </w:p>
        </w:tc>
      </w:tr>
      <w:tr w:rsidR="00F80D92" w:rsidRPr="000278CB" w14:paraId="57990E18"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single" w:sz="4" w:space="0" w:color="A5A5A5"/>
              <w:left w:val="nil"/>
              <w:bottom w:val="nil"/>
              <w:right w:val="nil"/>
            </w:tcBorders>
          </w:tcPr>
          <w:p w14:paraId="393F9738" w14:textId="246D5A1B" w:rsidR="00F80D92" w:rsidRPr="000278CB" w:rsidRDefault="00F80D92">
            <w:pPr>
              <w:spacing w:line="260" w:lineRule="atLeast"/>
              <w:rPr>
                <w:rFonts w:ascii="Calibri" w:eastAsia="Calibri" w:hAnsi="Calibri" w:cs="Arial"/>
                <w:sz w:val="20"/>
                <w:szCs w:val="20"/>
                <w:lang w:val="en-US"/>
              </w:rPr>
            </w:pPr>
            <w:r w:rsidRPr="00C31534">
              <w:rPr>
                <w:rFonts w:ascii="Calibri" w:eastAsia="Calibri" w:hAnsi="Calibri" w:cs="Arial"/>
                <w:sz w:val="20"/>
                <w:szCs w:val="20"/>
                <w:lang w:val="en-US"/>
              </w:rPr>
              <w:t xml:space="preserve">CC-1 Development and implementation of policies/laws/plans integrating climate change and </w:t>
            </w:r>
            <w:r w:rsidR="002F6B28">
              <w:rPr>
                <w:rFonts w:ascii="Calibri" w:eastAsia="Calibri" w:hAnsi="Calibri" w:cs="Arial"/>
                <w:sz w:val="20"/>
                <w:szCs w:val="20"/>
                <w:lang w:val="en-US"/>
              </w:rPr>
              <w:t>WRM</w:t>
            </w:r>
          </w:p>
        </w:tc>
      </w:tr>
      <w:tr w:rsidR="00F80D92" w:rsidRPr="000278CB" w14:paraId="18FCCDF6" w14:textId="77777777" w:rsidTr="00641774">
        <w:tc>
          <w:tcPr>
            <w:tcW w:w="9172" w:type="dxa"/>
            <w:shd w:val="clear" w:color="auto" w:fill="B4C6E7"/>
          </w:tcPr>
          <w:p w14:paraId="25BE84E3" w14:textId="77777777" w:rsidR="00F80D92" w:rsidRPr="00903831" w:rsidRDefault="00F80D92">
            <w:pPr>
              <w:rPr>
                <w:rFonts w:ascii="Calibri" w:eastAsia="Calibri" w:hAnsi="Calibri" w:cs="Arial"/>
                <w:bCs/>
                <w:sz w:val="20"/>
              </w:rPr>
            </w:pPr>
            <w:r w:rsidRPr="00903831">
              <w:rPr>
                <w:rFonts w:ascii="Calibri" w:eastAsia="Calibri" w:hAnsi="Calibri" w:cs="Arial"/>
                <w:bCs/>
                <w:sz w:val="20"/>
              </w:rPr>
              <w:t>SECTION 2: INSTITUTIONS AND PARTICIPATION</w:t>
            </w:r>
          </w:p>
        </w:tc>
      </w:tr>
      <w:tr w:rsidR="00F80D92" w:rsidRPr="000278CB" w14:paraId="0DD74476" w14:textId="77777777" w:rsidTr="00641774">
        <w:tc>
          <w:tcPr>
            <w:tcW w:w="9172" w:type="dxa"/>
          </w:tcPr>
          <w:p w14:paraId="35761382" w14:textId="77777777" w:rsidR="00F80D92" w:rsidRPr="000278CB" w:rsidRDefault="00F80D92">
            <w:pPr>
              <w:rPr>
                <w:rFonts w:ascii="Calibri" w:eastAsia="Calibri" w:hAnsi="Calibri" w:cs="Calibri"/>
                <w:sz w:val="20"/>
                <w:szCs w:val="20"/>
                <w:lang w:val="en-US"/>
              </w:rPr>
            </w:pPr>
            <w:r w:rsidRPr="00C31534">
              <w:rPr>
                <w:rFonts w:ascii="Calibri" w:eastAsia="Calibri" w:hAnsi="Calibri" w:cs="Calibri"/>
                <w:sz w:val="20"/>
                <w:szCs w:val="20"/>
                <w:lang w:val="en-US"/>
              </w:rPr>
              <w:t xml:space="preserve">2.1 Status of institutions for IWRM implementation at the </w:t>
            </w:r>
            <w:r w:rsidRPr="00C31534">
              <w:rPr>
                <w:rFonts w:ascii="Calibri" w:eastAsia="Calibri" w:hAnsi="Calibri" w:cs="Calibri"/>
                <w:b/>
                <w:sz w:val="20"/>
                <w:szCs w:val="20"/>
                <w:lang w:val="en-US"/>
              </w:rPr>
              <w:t>national level</w:t>
            </w:r>
            <w:r w:rsidRPr="00C31534">
              <w:rPr>
                <w:rFonts w:ascii="Calibri" w:eastAsia="Calibri" w:hAnsi="Calibri" w:cs="Calibri"/>
                <w:sz w:val="20"/>
                <w:szCs w:val="20"/>
                <w:lang w:val="en-US"/>
              </w:rPr>
              <w:t>:</w:t>
            </w:r>
          </w:p>
        </w:tc>
      </w:tr>
      <w:tr w:rsidR="00F80D92" w:rsidRPr="000278CB" w14:paraId="7FA896F9" w14:textId="77777777" w:rsidTr="00641774">
        <w:tc>
          <w:tcPr>
            <w:tcW w:w="9172" w:type="dxa"/>
          </w:tcPr>
          <w:p w14:paraId="166A1B5E" w14:textId="746740FF"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2.1a National government </w:t>
            </w:r>
            <w:r w:rsidRPr="008F735C">
              <w:rPr>
                <w:rFonts w:ascii="Calibri" w:eastAsia="Calibri" w:hAnsi="Calibri" w:cs="Calibri"/>
                <w:b/>
                <w:bCs/>
                <w:sz w:val="20"/>
                <w:szCs w:val="20"/>
                <w:lang w:val="en-US"/>
              </w:rPr>
              <w:t>authorities</w:t>
            </w:r>
            <w:r w:rsidRPr="00C31534">
              <w:rPr>
                <w:rFonts w:ascii="Calibri" w:eastAsia="Calibri" w:hAnsi="Calibri" w:cs="Calibri"/>
                <w:sz w:val="20"/>
                <w:szCs w:val="20"/>
                <w:lang w:val="en-US"/>
              </w:rPr>
              <w:t xml:space="preserve"> for leading IWRM implementation</w:t>
            </w:r>
          </w:p>
        </w:tc>
      </w:tr>
      <w:tr w:rsidR="00F80D92" w:rsidRPr="000278CB" w14:paraId="0F3568E8" w14:textId="77777777" w:rsidTr="00641774">
        <w:tc>
          <w:tcPr>
            <w:tcW w:w="9172" w:type="dxa"/>
          </w:tcPr>
          <w:p w14:paraId="01B4C6A5"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2.1b </w:t>
            </w:r>
            <w:r w:rsidRPr="00C31534">
              <w:rPr>
                <w:rFonts w:ascii="Calibri" w:eastAsia="Calibri" w:hAnsi="Calibri" w:cs="Calibri"/>
                <w:b/>
                <w:bCs/>
                <w:sz w:val="20"/>
                <w:szCs w:val="20"/>
                <w:lang w:val="en-US"/>
              </w:rPr>
              <w:t>Coordination</w:t>
            </w:r>
            <w:r w:rsidRPr="00C31534">
              <w:rPr>
                <w:rFonts w:ascii="Calibri" w:eastAsia="Calibri" w:hAnsi="Calibri" w:cs="Calibri"/>
                <w:sz w:val="20"/>
                <w:szCs w:val="20"/>
                <w:lang w:val="en-US"/>
              </w:rPr>
              <w:t xml:space="preserve"> between national government authorities representing different sectors</w:t>
            </w:r>
          </w:p>
        </w:tc>
      </w:tr>
      <w:tr w:rsidR="00F80D92" w:rsidRPr="000278CB" w14:paraId="008EDE36" w14:textId="77777777" w:rsidTr="00641774">
        <w:tc>
          <w:tcPr>
            <w:tcW w:w="9172" w:type="dxa"/>
          </w:tcPr>
          <w:p w14:paraId="0F065245"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2.1c </w:t>
            </w:r>
            <w:r w:rsidRPr="00C31534">
              <w:rPr>
                <w:rFonts w:ascii="Calibri" w:eastAsia="Calibri" w:hAnsi="Calibri" w:cs="Calibri"/>
                <w:b/>
                <w:bCs/>
                <w:sz w:val="20"/>
                <w:szCs w:val="20"/>
                <w:lang w:val="en-US"/>
              </w:rPr>
              <w:t>Public participation</w:t>
            </w:r>
            <w:r w:rsidRPr="00C31534">
              <w:rPr>
                <w:rFonts w:ascii="Calibri" w:eastAsia="Calibri" w:hAnsi="Calibri" w:cs="Calibri"/>
                <w:sz w:val="20"/>
                <w:szCs w:val="20"/>
                <w:lang w:val="en-US"/>
              </w:rPr>
              <w:t xml:space="preserve"> in water resources, policy, planning and management at national level</w:t>
            </w:r>
          </w:p>
        </w:tc>
      </w:tr>
      <w:tr w:rsidR="00F80D92" w:rsidRPr="000278CB" w14:paraId="151468E9" w14:textId="77777777" w:rsidTr="00641774">
        <w:tc>
          <w:tcPr>
            <w:tcW w:w="9172" w:type="dxa"/>
          </w:tcPr>
          <w:p w14:paraId="03EF797D"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2.1d </w:t>
            </w:r>
            <w:r w:rsidRPr="00C31534">
              <w:rPr>
                <w:rFonts w:ascii="Calibri" w:eastAsia="Calibri" w:hAnsi="Calibri" w:cs="Calibri"/>
                <w:b/>
                <w:bCs/>
                <w:sz w:val="20"/>
                <w:szCs w:val="20"/>
                <w:lang w:val="en-US"/>
              </w:rPr>
              <w:t>Private sector</w:t>
            </w:r>
            <w:r w:rsidRPr="00C31534">
              <w:rPr>
                <w:rFonts w:ascii="Calibri" w:eastAsia="Calibri" w:hAnsi="Calibri" w:cs="Calibri"/>
                <w:sz w:val="20"/>
                <w:szCs w:val="20"/>
                <w:lang w:val="en-US"/>
              </w:rPr>
              <w:t xml:space="preserve"> participation in water resources development, management and use</w:t>
            </w:r>
          </w:p>
        </w:tc>
      </w:tr>
      <w:tr w:rsidR="00F80D92" w:rsidRPr="000278CB" w14:paraId="441955F1" w14:textId="77777777" w:rsidTr="00641774">
        <w:tc>
          <w:tcPr>
            <w:tcW w:w="9172" w:type="dxa"/>
            <w:tcBorders>
              <w:bottom w:val="single" w:sz="4" w:space="0" w:color="BFBFBF" w:themeColor="background1" w:themeShade="BF"/>
            </w:tcBorders>
          </w:tcPr>
          <w:p w14:paraId="4B096FF8" w14:textId="09BACC63" w:rsidR="00F80D92" w:rsidRPr="00C31534"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2.1e </w:t>
            </w:r>
            <w:r w:rsidRPr="00C31534">
              <w:rPr>
                <w:rFonts w:ascii="Calibri" w:eastAsia="Calibri" w:hAnsi="Calibri" w:cs="Calibri"/>
                <w:b/>
                <w:bCs/>
                <w:sz w:val="20"/>
                <w:szCs w:val="20"/>
                <w:lang w:val="en-US"/>
              </w:rPr>
              <w:t xml:space="preserve">Capacity Development </w:t>
            </w:r>
            <w:r w:rsidRPr="00C31534">
              <w:rPr>
                <w:rFonts w:ascii="Calibri" w:eastAsia="Calibri" w:hAnsi="Calibri" w:cs="Calibri"/>
                <w:sz w:val="20"/>
                <w:szCs w:val="20"/>
                <w:lang w:val="en-US"/>
              </w:rPr>
              <w:t xml:space="preserve">for IWRM </w:t>
            </w:r>
          </w:p>
        </w:tc>
      </w:tr>
      <w:tr w:rsidR="00F80D92" w:rsidRPr="000278CB" w14:paraId="5514FE71" w14:textId="77777777" w:rsidTr="00641774">
        <w:tc>
          <w:tcPr>
            <w:tcW w:w="9172" w:type="dxa"/>
            <w:tcBorders>
              <w:top w:val="single" w:sz="4" w:space="0" w:color="BFBFBF" w:themeColor="background1" w:themeShade="BF"/>
            </w:tcBorders>
          </w:tcPr>
          <w:p w14:paraId="1B02CA3B" w14:textId="77777777" w:rsidR="00F80D92" w:rsidRPr="00C31534" w:rsidRDefault="00F80D92">
            <w:pPr>
              <w:rPr>
                <w:rFonts w:ascii="Calibri" w:eastAsia="Calibri" w:hAnsi="Calibri" w:cs="Calibri"/>
                <w:sz w:val="20"/>
                <w:szCs w:val="20"/>
                <w:lang w:val="en-US"/>
              </w:rPr>
            </w:pPr>
            <w:r w:rsidRPr="00C31534">
              <w:rPr>
                <w:rFonts w:ascii="Calibri" w:eastAsia="Calibri" w:hAnsi="Calibri" w:cs="Calibri"/>
                <w:sz w:val="20"/>
                <w:szCs w:val="20"/>
                <w:lang w:val="en-US"/>
              </w:rPr>
              <w:t xml:space="preserve">2.2 Status of institutions for IWRM implementation at </w:t>
            </w:r>
            <w:r w:rsidRPr="00C31534">
              <w:rPr>
                <w:rFonts w:ascii="Calibri" w:eastAsia="Calibri" w:hAnsi="Calibri" w:cs="Calibri"/>
                <w:b/>
                <w:sz w:val="20"/>
                <w:szCs w:val="20"/>
                <w:lang w:val="en-US"/>
              </w:rPr>
              <w:t>other levels</w:t>
            </w:r>
            <w:r w:rsidRPr="00C31534">
              <w:rPr>
                <w:rFonts w:ascii="Calibri" w:eastAsia="Calibri" w:hAnsi="Calibri" w:cs="Calibri"/>
                <w:sz w:val="20"/>
                <w:szCs w:val="20"/>
                <w:lang w:val="en-US"/>
              </w:rPr>
              <w:t>:</w:t>
            </w:r>
          </w:p>
        </w:tc>
      </w:tr>
      <w:tr w:rsidR="00F80D92" w:rsidRPr="000278CB" w14:paraId="315E5F3B" w14:textId="77777777" w:rsidTr="00641774">
        <w:tc>
          <w:tcPr>
            <w:tcW w:w="9172" w:type="dxa"/>
          </w:tcPr>
          <w:p w14:paraId="21721A0E" w14:textId="29074FCF"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2.2a Basin/aquifer level </w:t>
            </w:r>
            <w:r w:rsidRPr="008F735C">
              <w:rPr>
                <w:rFonts w:ascii="Calibri" w:eastAsia="Calibri" w:hAnsi="Calibri" w:cs="Calibri"/>
                <w:b/>
                <w:bCs/>
                <w:sz w:val="20"/>
                <w:szCs w:val="20"/>
                <w:lang w:val="en-US"/>
              </w:rPr>
              <w:t>organizations</w:t>
            </w:r>
            <w:r w:rsidRPr="00C31534">
              <w:rPr>
                <w:rFonts w:ascii="Calibri" w:eastAsia="Calibri" w:hAnsi="Calibri" w:cs="Calibri"/>
                <w:sz w:val="20"/>
                <w:szCs w:val="20"/>
                <w:lang w:val="en-US"/>
              </w:rPr>
              <w:t xml:space="preserve"> for leading implementation of IWRM</w:t>
            </w:r>
          </w:p>
        </w:tc>
      </w:tr>
      <w:tr w:rsidR="00F80D92" w:rsidRPr="000278CB" w14:paraId="7A605443" w14:textId="77777777" w:rsidTr="00641774">
        <w:tc>
          <w:tcPr>
            <w:tcW w:w="9172" w:type="dxa"/>
          </w:tcPr>
          <w:p w14:paraId="0C78339A" w14:textId="77777777" w:rsidR="00F80D92" w:rsidRPr="00C31534"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2.2b </w:t>
            </w:r>
            <w:r w:rsidRPr="00C31534">
              <w:rPr>
                <w:rFonts w:ascii="Calibri" w:eastAsia="Calibri" w:hAnsi="Calibri" w:cs="Calibri"/>
                <w:b/>
                <w:bCs/>
                <w:sz w:val="20"/>
                <w:szCs w:val="20"/>
                <w:lang w:val="en-US"/>
              </w:rPr>
              <w:t>Public participation</w:t>
            </w:r>
            <w:r w:rsidRPr="00C31534">
              <w:rPr>
                <w:rFonts w:ascii="Calibri" w:eastAsia="Calibri" w:hAnsi="Calibri" w:cs="Calibri"/>
                <w:sz w:val="20"/>
                <w:szCs w:val="20"/>
                <w:lang w:val="en-US"/>
              </w:rPr>
              <w:t xml:space="preserve"> in water resources, policy, planning and management at the local level</w:t>
            </w:r>
          </w:p>
        </w:tc>
      </w:tr>
      <w:tr w:rsidR="00F80D92" w:rsidRPr="000278CB" w14:paraId="3D601F25" w14:textId="77777777" w:rsidTr="00641774">
        <w:tc>
          <w:tcPr>
            <w:tcW w:w="9172" w:type="dxa"/>
          </w:tcPr>
          <w:p w14:paraId="5C8D8CD1" w14:textId="77777777" w:rsidR="00F80D92" w:rsidRPr="00C31534"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2.2c Participation of </w:t>
            </w:r>
            <w:r w:rsidRPr="00C31534">
              <w:rPr>
                <w:rFonts w:ascii="Calibri" w:eastAsia="Calibri" w:hAnsi="Calibri" w:cs="Calibri"/>
                <w:b/>
                <w:bCs/>
                <w:sz w:val="20"/>
                <w:szCs w:val="20"/>
                <w:lang w:val="en-US"/>
              </w:rPr>
              <w:t>vulnerable groups</w:t>
            </w:r>
            <w:r w:rsidRPr="00C31534">
              <w:rPr>
                <w:rFonts w:ascii="Calibri" w:eastAsia="Calibri" w:hAnsi="Calibri" w:cs="Calibri"/>
                <w:sz w:val="20"/>
                <w:szCs w:val="20"/>
                <w:lang w:val="en-US"/>
              </w:rPr>
              <w:t xml:space="preserve"> in water resources planning and management</w:t>
            </w:r>
          </w:p>
        </w:tc>
      </w:tr>
      <w:tr w:rsidR="00F80D92" w:rsidRPr="000278CB" w14:paraId="710367A6" w14:textId="77777777" w:rsidTr="00641774">
        <w:tc>
          <w:tcPr>
            <w:tcW w:w="9172" w:type="dxa"/>
          </w:tcPr>
          <w:p w14:paraId="2B979387" w14:textId="77777777" w:rsidR="00F80D92" w:rsidRPr="00C31534"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2.2d </w:t>
            </w:r>
            <w:r w:rsidRPr="00C31534">
              <w:rPr>
                <w:rFonts w:ascii="Calibri" w:eastAsia="Calibri" w:hAnsi="Calibri" w:cs="Calibri"/>
                <w:b/>
                <w:bCs/>
                <w:sz w:val="20"/>
                <w:szCs w:val="20"/>
                <w:lang w:val="en-US"/>
              </w:rPr>
              <w:t>Gender</w:t>
            </w:r>
            <w:r w:rsidRPr="00C31534">
              <w:rPr>
                <w:rFonts w:ascii="Calibri" w:eastAsia="Calibri" w:hAnsi="Calibri" w:cs="Calibri"/>
                <w:sz w:val="20"/>
                <w:szCs w:val="20"/>
                <w:lang w:val="en-US"/>
              </w:rPr>
              <w:t xml:space="preserve"> mainstreaming in water resources management</w:t>
            </w:r>
          </w:p>
        </w:tc>
      </w:tr>
      <w:tr w:rsidR="00F80D92" w:rsidRPr="000278CB" w14:paraId="2D60FCD7" w14:textId="77777777" w:rsidTr="00641774">
        <w:tc>
          <w:tcPr>
            <w:tcW w:w="9172" w:type="dxa"/>
          </w:tcPr>
          <w:p w14:paraId="2AAC41B1"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2.2e </w:t>
            </w:r>
            <w:r w:rsidRPr="00C31534">
              <w:rPr>
                <w:rFonts w:ascii="Calibri" w:eastAsia="Calibri" w:hAnsi="Calibri" w:cs="Calibri"/>
                <w:b/>
                <w:bCs/>
                <w:sz w:val="20"/>
                <w:szCs w:val="20"/>
                <w:lang w:val="en-US"/>
              </w:rPr>
              <w:t>Organizational framework</w:t>
            </w:r>
            <w:r w:rsidRPr="00C31534">
              <w:rPr>
                <w:rFonts w:ascii="Calibri" w:eastAsia="Calibri" w:hAnsi="Calibri" w:cs="Calibri"/>
                <w:sz w:val="20"/>
                <w:szCs w:val="20"/>
                <w:lang w:val="en-US"/>
              </w:rPr>
              <w:t xml:space="preserve"> for </w:t>
            </w:r>
            <w:r w:rsidRPr="00C31534">
              <w:rPr>
                <w:rFonts w:ascii="Calibri" w:eastAsia="Calibri" w:hAnsi="Calibri" w:cs="Calibri"/>
                <w:b/>
                <w:bCs/>
                <w:sz w:val="20"/>
                <w:szCs w:val="20"/>
                <w:lang w:val="en-US"/>
              </w:rPr>
              <w:t>transboundary</w:t>
            </w:r>
            <w:r w:rsidRPr="00C31534">
              <w:rPr>
                <w:rFonts w:ascii="Calibri" w:eastAsia="Calibri" w:hAnsi="Calibri" w:cs="Calibri"/>
                <w:sz w:val="20"/>
                <w:szCs w:val="20"/>
                <w:lang w:val="en-US"/>
              </w:rPr>
              <w:t xml:space="preserve"> water management</w:t>
            </w:r>
          </w:p>
        </w:tc>
      </w:tr>
      <w:tr w:rsidR="00F80D92" w:rsidRPr="000278CB" w14:paraId="6AA13A93"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nil"/>
              <w:left w:val="nil"/>
              <w:bottom w:val="single" w:sz="4" w:space="0" w:color="A5A5A5"/>
              <w:right w:val="nil"/>
            </w:tcBorders>
          </w:tcPr>
          <w:p w14:paraId="7CD0A044" w14:textId="04860FC5"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2.2f Sub-national authorities for leading IWRM implementation</w:t>
            </w:r>
          </w:p>
        </w:tc>
      </w:tr>
      <w:tr w:rsidR="00F80D92" w:rsidRPr="000278CB" w14:paraId="2E5BF77C"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single" w:sz="4" w:space="0" w:color="A5A5A5"/>
              <w:left w:val="nil"/>
              <w:bottom w:val="nil"/>
              <w:right w:val="nil"/>
            </w:tcBorders>
          </w:tcPr>
          <w:p w14:paraId="46510C91" w14:textId="4393592D" w:rsidR="00F80D92" w:rsidRPr="00C31534" w:rsidRDefault="00F80D92" w:rsidP="00C31534">
            <w:pPr>
              <w:spacing w:line="260" w:lineRule="atLeast"/>
              <w:rPr>
                <w:rFonts w:ascii="Calibri" w:eastAsia="Calibri" w:hAnsi="Calibri" w:cs="Calibri"/>
                <w:sz w:val="20"/>
                <w:szCs w:val="20"/>
                <w:lang w:val="en-US"/>
              </w:rPr>
            </w:pPr>
            <w:r w:rsidRPr="00C31534">
              <w:rPr>
                <w:rFonts w:ascii="Calibri" w:eastAsia="Calibri" w:hAnsi="Calibri" w:cs="Calibri"/>
                <w:sz w:val="20"/>
                <w:szCs w:val="20"/>
                <w:lang w:val="en-US"/>
              </w:rPr>
              <w:t>CC-2 Coordination between climate and water resources institutions / stakeholders</w:t>
            </w:r>
          </w:p>
        </w:tc>
      </w:tr>
      <w:tr w:rsidR="00F80D92" w:rsidRPr="000278CB" w14:paraId="32A65059" w14:textId="77777777" w:rsidTr="00641774">
        <w:tc>
          <w:tcPr>
            <w:tcW w:w="9172" w:type="dxa"/>
            <w:shd w:val="clear" w:color="auto" w:fill="FBE4D5"/>
          </w:tcPr>
          <w:p w14:paraId="19321D9A" w14:textId="77777777" w:rsidR="00F80D92" w:rsidRPr="00903831" w:rsidRDefault="00F80D92">
            <w:pPr>
              <w:rPr>
                <w:rFonts w:ascii="Calibri" w:eastAsia="Calibri" w:hAnsi="Calibri" w:cs="Arial"/>
                <w:bCs/>
                <w:sz w:val="20"/>
              </w:rPr>
            </w:pPr>
            <w:r w:rsidRPr="00903831">
              <w:rPr>
                <w:rFonts w:ascii="Calibri" w:eastAsia="Calibri" w:hAnsi="Calibri" w:cs="Arial"/>
                <w:bCs/>
                <w:sz w:val="20"/>
              </w:rPr>
              <w:t>SECTION 3: MANAGEMENT INSTRUMENTS</w:t>
            </w:r>
          </w:p>
        </w:tc>
      </w:tr>
      <w:tr w:rsidR="00F80D92" w:rsidRPr="000278CB" w14:paraId="121703C8" w14:textId="77777777" w:rsidTr="00641774">
        <w:tc>
          <w:tcPr>
            <w:tcW w:w="9172" w:type="dxa"/>
          </w:tcPr>
          <w:p w14:paraId="31653109" w14:textId="77777777" w:rsidR="00F80D92" w:rsidRPr="00C31534" w:rsidRDefault="00F80D92">
            <w:pPr>
              <w:ind w:firstLine="24"/>
              <w:rPr>
                <w:rFonts w:ascii="Calibri" w:eastAsia="Calibri" w:hAnsi="Calibri" w:cs="Calibri"/>
                <w:sz w:val="20"/>
                <w:szCs w:val="20"/>
                <w:lang w:val="en-US"/>
              </w:rPr>
            </w:pPr>
            <w:r w:rsidRPr="00C31534">
              <w:rPr>
                <w:rFonts w:ascii="Calibri" w:eastAsia="Calibri" w:hAnsi="Calibri" w:cs="Calibri"/>
                <w:sz w:val="20"/>
                <w:szCs w:val="20"/>
                <w:lang w:val="en-US"/>
              </w:rPr>
              <w:t xml:space="preserve">3.1 Status of management instruments to support IWRM implementation at the </w:t>
            </w:r>
            <w:r w:rsidRPr="00C31534">
              <w:rPr>
                <w:rFonts w:ascii="Calibri" w:eastAsia="Calibri" w:hAnsi="Calibri" w:cs="Calibri"/>
                <w:b/>
                <w:sz w:val="20"/>
                <w:szCs w:val="20"/>
                <w:lang w:val="en-US"/>
              </w:rPr>
              <w:t>national level</w:t>
            </w:r>
            <w:r w:rsidRPr="00C31534">
              <w:rPr>
                <w:rFonts w:ascii="Calibri" w:eastAsia="Calibri" w:hAnsi="Calibri" w:cs="Calibri"/>
                <w:sz w:val="20"/>
                <w:szCs w:val="20"/>
                <w:lang w:val="en-US"/>
              </w:rPr>
              <w:t>:</w:t>
            </w:r>
          </w:p>
        </w:tc>
      </w:tr>
      <w:tr w:rsidR="00F80D92" w:rsidRPr="000278CB" w14:paraId="41569380" w14:textId="77777777" w:rsidTr="00641774">
        <w:tc>
          <w:tcPr>
            <w:tcW w:w="9172" w:type="dxa"/>
          </w:tcPr>
          <w:p w14:paraId="17F8DD82" w14:textId="77777777" w:rsidR="00F80D92" w:rsidRPr="00C31534" w:rsidRDefault="00F80D92">
            <w:pPr>
              <w:spacing w:line="260" w:lineRule="atLeast"/>
              <w:ind w:left="1025" w:hanging="429"/>
              <w:rPr>
                <w:rFonts w:ascii="Calibri" w:eastAsia="Calibri" w:hAnsi="Calibri" w:cs="Calibri"/>
                <w:sz w:val="20"/>
                <w:szCs w:val="20"/>
                <w:lang w:val="en-US"/>
              </w:rPr>
            </w:pPr>
            <w:r w:rsidRPr="00C31534">
              <w:rPr>
                <w:rFonts w:ascii="Calibri" w:eastAsia="Calibri" w:hAnsi="Calibri" w:cs="Calibri"/>
                <w:sz w:val="20"/>
                <w:szCs w:val="20"/>
                <w:lang w:val="en-US"/>
              </w:rPr>
              <w:t xml:space="preserve">3.1a National </w:t>
            </w:r>
            <w:r w:rsidRPr="00C31534">
              <w:rPr>
                <w:rFonts w:ascii="Calibri" w:eastAsia="Calibri" w:hAnsi="Calibri" w:cs="Calibri"/>
                <w:b/>
                <w:bCs/>
                <w:sz w:val="20"/>
                <w:szCs w:val="20"/>
                <w:lang w:val="en-US"/>
              </w:rPr>
              <w:t>monitoring of water availability</w:t>
            </w:r>
            <w:r w:rsidRPr="00C31534">
              <w:rPr>
                <w:rFonts w:ascii="Calibri" w:eastAsia="Calibri" w:hAnsi="Calibri" w:cs="Calibri"/>
                <w:sz w:val="20"/>
                <w:szCs w:val="20"/>
                <w:lang w:val="en-US"/>
              </w:rPr>
              <w:t xml:space="preserve"> (incl. surface and/or groundwater)</w:t>
            </w:r>
          </w:p>
        </w:tc>
      </w:tr>
      <w:tr w:rsidR="00F80D92" w:rsidRPr="000278CB" w14:paraId="1C6FE2A4" w14:textId="77777777" w:rsidTr="00641774">
        <w:tc>
          <w:tcPr>
            <w:tcW w:w="9172" w:type="dxa"/>
          </w:tcPr>
          <w:p w14:paraId="31657615" w14:textId="2B51AD1C" w:rsidR="00F80D92" w:rsidRPr="000278CB" w:rsidRDefault="00F80D92">
            <w:pPr>
              <w:spacing w:line="260" w:lineRule="atLeast"/>
              <w:ind w:left="1025" w:hanging="429"/>
              <w:rPr>
                <w:rFonts w:ascii="Calibri" w:eastAsia="Calibri" w:hAnsi="Calibri" w:cs="Calibri"/>
                <w:sz w:val="20"/>
                <w:szCs w:val="20"/>
                <w:lang w:val="en-US"/>
              </w:rPr>
            </w:pPr>
            <w:r w:rsidRPr="00C31534">
              <w:rPr>
                <w:rFonts w:ascii="Calibri" w:eastAsia="Calibri" w:hAnsi="Calibri" w:cs="Calibri"/>
                <w:sz w:val="20"/>
                <w:szCs w:val="20"/>
                <w:lang w:val="en-US"/>
              </w:rPr>
              <w:t xml:space="preserve">3.1b </w:t>
            </w:r>
            <w:r w:rsidRPr="00C31534">
              <w:rPr>
                <w:rFonts w:ascii="Calibri" w:eastAsia="Calibri" w:hAnsi="Calibri" w:cs="Calibri"/>
                <w:b/>
                <w:bCs/>
                <w:sz w:val="20"/>
                <w:szCs w:val="20"/>
                <w:lang w:val="en-US"/>
              </w:rPr>
              <w:t>Sustainable and efficient</w:t>
            </w:r>
            <w:r w:rsidRPr="00C31534">
              <w:rPr>
                <w:rFonts w:ascii="Calibri" w:eastAsia="Calibri" w:hAnsi="Calibri" w:cs="Calibri"/>
                <w:sz w:val="20"/>
                <w:szCs w:val="20"/>
                <w:lang w:val="en-US"/>
              </w:rPr>
              <w:t xml:space="preserve"> water use management at national level (surface and/or groundwater)</w:t>
            </w:r>
          </w:p>
        </w:tc>
      </w:tr>
      <w:tr w:rsidR="00F80D92" w:rsidRPr="000278CB" w14:paraId="0DAD928D" w14:textId="77777777" w:rsidTr="00641774">
        <w:tc>
          <w:tcPr>
            <w:tcW w:w="9172" w:type="dxa"/>
          </w:tcPr>
          <w:p w14:paraId="0B566D58" w14:textId="77777777" w:rsidR="00F80D92" w:rsidRPr="00C31534" w:rsidRDefault="00F80D92">
            <w:pPr>
              <w:spacing w:line="260" w:lineRule="atLeast"/>
              <w:ind w:left="1025" w:hanging="429"/>
              <w:rPr>
                <w:rFonts w:ascii="Calibri" w:eastAsia="Calibri" w:hAnsi="Calibri" w:cs="Calibri"/>
                <w:sz w:val="20"/>
                <w:szCs w:val="20"/>
                <w:lang w:val="en-US"/>
              </w:rPr>
            </w:pPr>
            <w:r w:rsidRPr="00C31534">
              <w:rPr>
                <w:rFonts w:ascii="Calibri" w:eastAsia="Calibri" w:hAnsi="Calibri" w:cs="Calibri"/>
                <w:sz w:val="20"/>
                <w:szCs w:val="20"/>
                <w:lang w:val="en-US"/>
              </w:rPr>
              <w:t xml:space="preserve">3.1c </w:t>
            </w:r>
            <w:r w:rsidRPr="00C31534">
              <w:rPr>
                <w:rFonts w:ascii="Calibri" w:eastAsia="Calibri" w:hAnsi="Calibri" w:cs="Calibri"/>
                <w:b/>
                <w:bCs/>
                <w:sz w:val="20"/>
                <w:szCs w:val="20"/>
                <w:lang w:val="en-US"/>
              </w:rPr>
              <w:t>Pollution</w:t>
            </w:r>
            <w:r w:rsidRPr="00C31534">
              <w:rPr>
                <w:rFonts w:ascii="Calibri" w:eastAsia="Calibri" w:hAnsi="Calibri" w:cs="Calibri"/>
                <w:sz w:val="20"/>
                <w:szCs w:val="20"/>
                <w:lang w:val="en-US"/>
              </w:rPr>
              <w:t xml:space="preserve"> control from the national level</w:t>
            </w:r>
          </w:p>
        </w:tc>
      </w:tr>
      <w:tr w:rsidR="00F80D92" w:rsidRPr="000278CB" w14:paraId="4E1D7220" w14:textId="77777777" w:rsidTr="00641774">
        <w:tc>
          <w:tcPr>
            <w:tcW w:w="9172" w:type="dxa"/>
          </w:tcPr>
          <w:p w14:paraId="56DBECEF" w14:textId="77777777" w:rsidR="00F80D92" w:rsidRPr="000278CB" w:rsidRDefault="00F80D92">
            <w:pPr>
              <w:spacing w:line="260" w:lineRule="atLeast"/>
              <w:ind w:left="1025" w:hanging="429"/>
              <w:rPr>
                <w:rFonts w:ascii="Calibri" w:eastAsia="Calibri" w:hAnsi="Calibri" w:cs="Calibri"/>
                <w:sz w:val="20"/>
                <w:szCs w:val="20"/>
                <w:lang w:val="en-US"/>
              </w:rPr>
            </w:pPr>
            <w:r w:rsidRPr="00C31534">
              <w:rPr>
                <w:rFonts w:ascii="Calibri" w:eastAsia="Calibri" w:hAnsi="Calibri" w:cs="Calibri"/>
                <w:sz w:val="20"/>
                <w:szCs w:val="20"/>
                <w:lang w:val="en-US"/>
              </w:rPr>
              <w:t xml:space="preserve">3.1d Management of water-related </w:t>
            </w:r>
            <w:r w:rsidRPr="00C31534">
              <w:rPr>
                <w:rFonts w:ascii="Calibri" w:eastAsia="Calibri" w:hAnsi="Calibri" w:cs="Calibri"/>
                <w:b/>
                <w:bCs/>
                <w:sz w:val="20"/>
                <w:szCs w:val="20"/>
                <w:lang w:val="en-US"/>
              </w:rPr>
              <w:t>ecosystems</w:t>
            </w:r>
            <w:r w:rsidRPr="00C31534">
              <w:rPr>
                <w:rFonts w:ascii="Calibri" w:eastAsia="Calibri" w:hAnsi="Calibri" w:cs="Calibri"/>
                <w:sz w:val="20"/>
                <w:szCs w:val="20"/>
                <w:lang w:val="en-US"/>
              </w:rPr>
              <w:t xml:space="preserve"> and biodiversity from the national level</w:t>
            </w:r>
          </w:p>
        </w:tc>
      </w:tr>
      <w:tr w:rsidR="00F80D92" w:rsidRPr="000278CB" w14:paraId="32A0F39F" w14:textId="77777777" w:rsidTr="00641774">
        <w:tc>
          <w:tcPr>
            <w:tcW w:w="9172" w:type="dxa"/>
            <w:tcBorders>
              <w:bottom w:val="single" w:sz="4" w:space="0" w:color="BFBFBF" w:themeColor="background1" w:themeShade="BF"/>
            </w:tcBorders>
          </w:tcPr>
          <w:p w14:paraId="5AB025A4" w14:textId="77777777" w:rsidR="00F80D92" w:rsidRPr="000278CB" w:rsidRDefault="00F80D92">
            <w:pPr>
              <w:spacing w:line="260" w:lineRule="atLeast"/>
              <w:ind w:left="1025" w:hanging="429"/>
              <w:rPr>
                <w:rFonts w:ascii="Calibri" w:eastAsia="Calibri" w:hAnsi="Calibri" w:cs="Calibri"/>
                <w:sz w:val="20"/>
                <w:szCs w:val="20"/>
                <w:lang w:val="en-US"/>
              </w:rPr>
            </w:pPr>
            <w:r w:rsidRPr="00C31534">
              <w:rPr>
                <w:rFonts w:ascii="Calibri" w:eastAsia="Calibri" w:hAnsi="Calibri" w:cs="Calibri"/>
                <w:sz w:val="20"/>
                <w:szCs w:val="20"/>
                <w:lang w:val="en-US"/>
              </w:rPr>
              <w:t xml:space="preserve">3.1e Management instruments to reduce impacts of </w:t>
            </w:r>
            <w:r w:rsidRPr="00C31534">
              <w:rPr>
                <w:rFonts w:ascii="Calibri" w:eastAsia="Calibri" w:hAnsi="Calibri" w:cs="Calibri"/>
                <w:b/>
                <w:bCs/>
                <w:sz w:val="20"/>
                <w:szCs w:val="20"/>
                <w:lang w:val="en-US"/>
              </w:rPr>
              <w:t>water-related disasters</w:t>
            </w:r>
            <w:r w:rsidRPr="00C31534">
              <w:rPr>
                <w:rFonts w:ascii="Calibri" w:eastAsia="Calibri" w:hAnsi="Calibri" w:cs="Calibri"/>
                <w:sz w:val="20"/>
                <w:szCs w:val="20"/>
                <w:lang w:val="en-US"/>
              </w:rPr>
              <w:t xml:space="preserve"> - national level</w:t>
            </w:r>
          </w:p>
        </w:tc>
      </w:tr>
      <w:tr w:rsidR="00F80D92" w:rsidRPr="000278CB" w14:paraId="4B043CF1" w14:textId="77777777" w:rsidTr="00641774">
        <w:tc>
          <w:tcPr>
            <w:tcW w:w="9172" w:type="dxa"/>
            <w:tcBorders>
              <w:top w:val="single" w:sz="4" w:space="0" w:color="BFBFBF" w:themeColor="background1" w:themeShade="BF"/>
            </w:tcBorders>
          </w:tcPr>
          <w:p w14:paraId="63AEFBF1" w14:textId="77777777" w:rsidR="00F80D92" w:rsidRPr="00C31534" w:rsidRDefault="00F80D92">
            <w:pPr>
              <w:rPr>
                <w:rFonts w:ascii="Calibri" w:eastAsia="Calibri" w:hAnsi="Calibri" w:cs="Calibri"/>
                <w:sz w:val="20"/>
                <w:szCs w:val="20"/>
                <w:lang w:val="en-US"/>
              </w:rPr>
            </w:pPr>
            <w:r w:rsidRPr="00C31534">
              <w:rPr>
                <w:rFonts w:ascii="Calibri" w:eastAsia="Calibri" w:hAnsi="Calibri" w:cs="Calibri"/>
                <w:sz w:val="20"/>
                <w:szCs w:val="20"/>
                <w:lang w:val="en-US"/>
              </w:rPr>
              <w:t xml:space="preserve">3.2 Status of management instruments to support IWRM implementation at </w:t>
            </w:r>
            <w:r w:rsidRPr="00C31534">
              <w:rPr>
                <w:rFonts w:ascii="Calibri" w:eastAsia="Calibri" w:hAnsi="Calibri" w:cs="Calibri"/>
                <w:b/>
                <w:sz w:val="20"/>
                <w:szCs w:val="20"/>
                <w:lang w:val="en-US"/>
              </w:rPr>
              <w:t>other levels</w:t>
            </w:r>
            <w:r w:rsidRPr="00C31534">
              <w:rPr>
                <w:rFonts w:ascii="Calibri" w:eastAsia="Calibri" w:hAnsi="Calibri" w:cs="Calibri"/>
                <w:sz w:val="20"/>
                <w:szCs w:val="20"/>
                <w:lang w:val="en-US"/>
              </w:rPr>
              <w:t>:</w:t>
            </w:r>
          </w:p>
        </w:tc>
      </w:tr>
      <w:tr w:rsidR="00F80D92" w:rsidRPr="000278CB" w14:paraId="0DD5067C" w14:textId="77777777" w:rsidTr="00641774">
        <w:tc>
          <w:tcPr>
            <w:tcW w:w="9172" w:type="dxa"/>
          </w:tcPr>
          <w:p w14:paraId="7CA2D512" w14:textId="77777777" w:rsidR="00F80D92" w:rsidRPr="000278CB" w:rsidRDefault="00F80D92">
            <w:pPr>
              <w:spacing w:line="260" w:lineRule="atLeast"/>
              <w:ind w:firstLine="591"/>
              <w:rPr>
                <w:rFonts w:ascii="Calibri" w:eastAsia="Calibri" w:hAnsi="Calibri" w:cs="Calibri"/>
                <w:sz w:val="20"/>
                <w:szCs w:val="20"/>
              </w:rPr>
            </w:pPr>
            <w:r w:rsidRPr="000278CB">
              <w:rPr>
                <w:rFonts w:ascii="Calibri" w:eastAsia="Calibri" w:hAnsi="Calibri" w:cs="Calibri"/>
                <w:sz w:val="20"/>
                <w:szCs w:val="20"/>
              </w:rPr>
              <w:t xml:space="preserve">3.2a </w:t>
            </w:r>
            <w:r w:rsidRPr="00C31534">
              <w:rPr>
                <w:rFonts w:ascii="Calibri" w:eastAsia="Calibri" w:hAnsi="Calibri" w:cs="Calibri"/>
                <w:b/>
                <w:bCs/>
                <w:sz w:val="20"/>
                <w:szCs w:val="20"/>
              </w:rPr>
              <w:t>Basin management</w:t>
            </w:r>
            <w:r w:rsidRPr="000278CB">
              <w:rPr>
                <w:rFonts w:ascii="Calibri" w:eastAsia="Calibri" w:hAnsi="Calibri" w:cs="Calibri"/>
                <w:sz w:val="20"/>
                <w:szCs w:val="20"/>
              </w:rPr>
              <w:t xml:space="preserve"> instruments</w:t>
            </w:r>
          </w:p>
        </w:tc>
      </w:tr>
      <w:tr w:rsidR="00F80D92" w:rsidRPr="000278CB" w14:paraId="33CCDC26" w14:textId="77777777" w:rsidTr="00641774">
        <w:tc>
          <w:tcPr>
            <w:tcW w:w="9172" w:type="dxa"/>
          </w:tcPr>
          <w:p w14:paraId="406668BC" w14:textId="77777777" w:rsidR="00F80D92" w:rsidRPr="000278CB" w:rsidRDefault="00F80D92">
            <w:pPr>
              <w:spacing w:line="260" w:lineRule="atLeast"/>
              <w:ind w:firstLine="591"/>
              <w:rPr>
                <w:rFonts w:ascii="Calibri" w:eastAsia="Calibri" w:hAnsi="Calibri" w:cs="Calibri"/>
                <w:sz w:val="20"/>
                <w:szCs w:val="20"/>
              </w:rPr>
            </w:pPr>
            <w:r w:rsidRPr="000278CB">
              <w:rPr>
                <w:rFonts w:ascii="Calibri" w:eastAsia="Calibri" w:hAnsi="Calibri" w:cs="Calibri"/>
                <w:sz w:val="20"/>
                <w:szCs w:val="20"/>
              </w:rPr>
              <w:t xml:space="preserve">3.2b </w:t>
            </w:r>
            <w:r w:rsidRPr="00BC5372">
              <w:rPr>
                <w:rFonts w:ascii="Calibri" w:eastAsia="Calibri" w:hAnsi="Calibri" w:cs="Calibri"/>
                <w:b/>
                <w:bCs/>
                <w:sz w:val="20"/>
                <w:szCs w:val="20"/>
                <w:lang w:val="en-GB"/>
              </w:rPr>
              <w:t>Aquifer</w:t>
            </w:r>
            <w:r w:rsidRPr="00C31534">
              <w:rPr>
                <w:rFonts w:ascii="Calibri" w:eastAsia="Calibri" w:hAnsi="Calibri" w:cs="Calibri"/>
                <w:b/>
                <w:bCs/>
                <w:sz w:val="20"/>
                <w:szCs w:val="20"/>
              </w:rPr>
              <w:t xml:space="preserve"> management</w:t>
            </w:r>
            <w:r w:rsidRPr="000278CB">
              <w:rPr>
                <w:rFonts w:ascii="Calibri" w:eastAsia="Calibri" w:hAnsi="Calibri" w:cs="Calibri"/>
                <w:sz w:val="20"/>
                <w:szCs w:val="20"/>
              </w:rPr>
              <w:t xml:space="preserve"> instruments</w:t>
            </w:r>
          </w:p>
        </w:tc>
      </w:tr>
      <w:tr w:rsidR="00F80D92" w:rsidRPr="000278CB" w14:paraId="3E5E96E9" w14:textId="77777777" w:rsidTr="00641774">
        <w:tc>
          <w:tcPr>
            <w:tcW w:w="9172" w:type="dxa"/>
          </w:tcPr>
          <w:p w14:paraId="55266E34"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3.2c </w:t>
            </w:r>
            <w:r w:rsidRPr="00C31534">
              <w:rPr>
                <w:rFonts w:ascii="Calibri" w:eastAsia="Calibri" w:hAnsi="Calibri" w:cs="Calibri"/>
                <w:b/>
                <w:bCs/>
                <w:sz w:val="20"/>
                <w:szCs w:val="20"/>
                <w:lang w:val="en-US"/>
              </w:rPr>
              <w:t>Data and information sharing</w:t>
            </w:r>
            <w:r w:rsidRPr="00C31534">
              <w:rPr>
                <w:rFonts w:ascii="Calibri" w:eastAsia="Calibri" w:hAnsi="Calibri" w:cs="Calibri"/>
                <w:i/>
                <w:sz w:val="20"/>
                <w:szCs w:val="20"/>
                <w:lang w:val="en-US"/>
              </w:rPr>
              <w:t xml:space="preserve"> within</w:t>
            </w:r>
            <w:r w:rsidRPr="00C31534">
              <w:rPr>
                <w:rFonts w:ascii="Calibri" w:eastAsia="Calibri" w:hAnsi="Calibri" w:cs="Calibri"/>
                <w:sz w:val="20"/>
                <w:szCs w:val="20"/>
                <w:lang w:val="en-US"/>
              </w:rPr>
              <w:t xml:space="preserve"> countries at all levels</w:t>
            </w:r>
          </w:p>
        </w:tc>
      </w:tr>
      <w:tr w:rsidR="00F80D92" w:rsidRPr="000278CB" w14:paraId="46D60046"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nil"/>
              <w:left w:val="nil"/>
              <w:bottom w:val="single" w:sz="4" w:space="0" w:color="A5A5A5"/>
              <w:right w:val="nil"/>
            </w:tcBorders>
          </w:tcPr>
          <w:p w14:paraId="4DD03033"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3.2d </w:t>
            </w:r>
            <w:r w:rsidRPr="00C31534">
              <w:rPr>
                <w:rFonts w:ascii="Calibri" w:eastAsia="Calibri" w:hAnsi="Calibri" w:cs="Calibri"/>
                <w:b/>
                <w:bCs/>
                <w:sz w:val="20"/>
                <w:szCs w:val="20"/>
                <w:lang w:val="en-US"/>
              </w:rPr>
              <w:t>Transboundary data and information</w:t>
            </w:r>
            <w:r w:rsidRPr="00C31534">
              <w:rPr>
                <w:rFonts w:ascii="Calibri" w:eastAsia="Calibri" w:hAnsi="Calibri" w:cs="Calibri"/>
                <w:sz w:val="20"/>
                <w:szCs w:val="20"/>
                <w:lang w:val="en-US"/>
              </w:rPr>
              <w:t xml:space="preserve"> sharing </w:t>
            </w:r>
            <w:r w:rsidRPr="00C31534">
              <w:rPr>
                <w:rFonts w:ascii="Calibri" w:eastAsia="Calibri" w:hAnsi="Calibri" w:cs="Calibri"/>
                <w:i/>
                <w:sz w:val="20"/>
                <w:szCs w:val="20"/>
                <w:lang w:val="en-US"/>
              </w:rPr>
              <w:t>between</w:t>
            </w:r>
            <w:r w:rsidRPr="00C31534">
              <w:rPr>
                <w:rFonts w:ascii="Calibri" w:eastAsia="Calibri" w:hAnsi="Calibri" w:cs="Calibri"/>
                <w:sz w:val="20"/>
                <w:szCs w:val="20"/>
                <w:lang w:val="en-US"/>
              </w:rPr>
              <w:t xml:space="preserve"> countries</w:t>
            </w:r>
          </w:p>
        </w:tc>
      </w:tr>
      <w:tr w:rsidR="00F80D92" w:rsidRPr="000278CB" w14:paraId="06A6F68D"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single" w:sz="4" w:space="0" w:color="A5A5A5"/>
              <w:left w:val="nil"/>
              <w:bottom w:val="nil"/>
              <w:right w:val="nil"/>
            </w:tcBorders>
          </w:tcPr>
          <w:p w14:paraId="1AD55EEA" w14:textId="5B0BDAD5" w:rsidR="00F80D92" w:rsidRPr="00C31534" w:rsidRDefault="00F80D92" w:rsidP="00C31534">
            <w:pPr>
              <w:spacing w:line="260" w:lineRule="atLeast"/>
              <w:rPr>
                <w:rFonts w:ascii="Calibri" w:eastAsia="Calibri" w:hAnsi="Calibri" w:cs="Calibri"/>
                <w:sz w:val="20"/>
                <w:szCs w:val="20"/>
                <w:lang w:val="en-US"/>
              </w:rPr>
            </w:pPr>
            <w:r w:rsidRPr="00C31534">
              <w:rPr>
                <w:rFonts w:ascii="Calibri" w:eastAsia="Calibri" w:hAnsi="Calibri" w:cs="Calibri"/>
                <w:sz w:val="20"/>
                <w:szCs w:val="20"/>
                <w:lang w:val="en-US"/>
              </w:rPr>
              <w:t>CC-3 Extent to which climate change impacts are addressed in management instruments for WRM</w:t>
            </w:r>
          </w:p>
        </w:tc>
      </w:tr>
      <w:tr w:rsidR="00F80D92" w:rsidRPr="000278CB" w14:paraId="02CCCCA2" w14:textId="77777777" w:rsidTr="00641774">
        <w:tc>
          <w:tcPr>
            <w:tcW w:w="9172" w:type="dxa"/>
            <w:shd w:val="clear" w:color="auto" w:fill="FFF2CC"/>
          </w:tcPr>
          <w:p w14:paraId="4E4D33E6" w14:textId="77777777" w:rsidR="00F80D92" w:rsidRPr="00903831" w:rsidRDefault="00F80D92">
            <w:pPr>
              <w:rPr>
                <w:rFonts w:ascii="Calibri" w:eastAsia="Calibri" w:hAnsi="Calibri" w:cs="Arial"/>
                <w:bCs/>
                <w:sz w:val="20"/>
              </w:rPr>
            </w:pPr>
            <w:r w:rsidRPr="00903831">
              <w:rPr>
                <w:rFonts w:ascii="Calibri" w:eastAsia="Calibri" w:hAnsi="Calibri" w:cs="Arial"/>
                <w:bCs/>
                <w:sz w:val="20"/>
              </w:rPr>
              <w:t>SECTION 4: FINANCING</w:t>
            </w:r>
          </w:p>
        </w:tc>
      </w:tr>
      <w:tr w:rsidR="00F80D92" w:rsidRPr="000278CB" w14:paraId="0F991459" w14:textId="77777777" w:rsidTr="00641774">
        <w:tc>
          <w:tcPr>
            <w:tcW w:w="9172" w:type="dxa"/>
          </w:tcPr>
          <w:p w14:paraId="05D320AC" w14:textId="77777777" w:rsidR="00F80D92" w:rsidRPr="00C31534" w:rsidRDefault="00F80D92">
            <w:pPr>
              <w:rPr>
                <w:rFonts w:ascii="Calibri" w:eastAsia="Calibri" w:hAnsi="Calibri" w:cs="Calibri"/>
                <w:sz w:val="20"/>
                <w:szCs w:val="20"/>
                <w:lang w:val="en-US"/>
              </w:rPr>
            </w:pPr>
            <w:r w:rsidRPr="00C31534">
              <w:rPr>
                <w:rFonts w:ascii="Calibri" w:eastAsia="Calibri" w:hAnsi="Calibri" w:cs="Calibri"/>
                <w:sz w:val="20"/>
                <w:szCs w:val="20"/>
                <w:lang w:val="en-US"/>
              </w:rPr>
              <w:t xml:space="preserve">4.1 Status of financing for water resources development and management at the </w:t>
            </w:r>
            <w:r w:rsidRPr="00C31534">
              <w:rPr>
                <w:rFonts w:ascii="Calibri" w:eastAsia="Calibri" w:hAnsi="Calibri" w:cs="Calibri"/>
                <w:b/>
                <w:sz w:val="20"/>
                <w:szCs w:val="20"/>
                <w:lang w:val="en-US"/>
              </w:rPr>
              <w:t>national level</w:t>
            </w:r>
            <w:r w:rsidRPr="00C31534">
              <w:rPr>
                <w:rFonts w:ascii="Calibri" w:eastAsia="Calibri" w:hAnsi="Calibri" w:cs="Calibri"/>
                <w:sz w:val="20"/>
                <w:szCs w:val="20"/>
                <w:lang w:val="en-US"/>
              </w:rPr>
              <w:t>:</w:t>
            </w:r>
          </w:p>
        </w:tc>
      </w:tr>
      <w:tr w:rsidR="00F80D92" w:rsidRPr="000278CB" w14:paraId="7E8FA38B" w14:textId="77777777" w:rsidTr="00641774">
        <w:tc>
          <w:tcPr>
            <w:tcW w:w="9172" w:type="dxa"/>
          </w:tcPr>
          <w:p w14:paraId="7EAE44BB"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4.1a National </w:t>
            </w:r>
            <w:r w:rsidRPr="00C31534">
              <w:rPr>
                <w:rFonts w:ascii="Calibri" w:eastAsia="Calibri" w:hAnsi="Calibri" w:cs="Calibri"/>
                <w:b/>
                <w:bCs/>
                <w:sz w:val="20"/>
                <w:szCs w:val="20"/>
                <w:lang w:val="en-US"/>
              </w:rPr>
              <w:t>budget</w:t>
            </w:r>
            <w:r w:rsidRPr="00C31534">
              <w:rPr>
                <w:rFonts w:ascii="Calibri" w:eastAsia="Calibri" w:hAnsi="Calibri" w:cs="Calibri"/>
                <w:sz w:val="20"/>
                <w:szCs w:val="20"/>
                <w:lang w:val="en-US"/>
              </w:rPr>
              <w:t xml:space="preserve"> for water resources </w:t>
            </w:r>
            <w:r w:rsidRPr="00C31534">
              <w:rPr>
                <w:rFonts w:ascii="Calibri" w:eastAsia="Calibri" w:hAnsi="Calibri" w:cs="Calibri"/>
                <w:b/>
                <w:bCs/>
                <w:sz w:val="20"/>
                <w:szCs w:val="20"/>
                <w:lang w:val="en-US"/>
              </w:rPr>
              <w:t>infrastructure</w:t>
            </w:r>
            <w:r w:rsidRPr="00C31534">
              <w:rPr>
                <w:rFonts w:ascii="Calibri" w:eastAsia="Calibri" w:hAnsi="Calibri" w:cs="Calibri"/>
                <w:sz w:val="20"/>
                <w:szCs w:val="20"/>
                <w:lang w:val="en-US"/>
              </w:rPr>
              <w:t xml:space="preserve"> (investment and recurrent costs)</w:t>
            </w:r>
          </w:p>
        </w:tc>
      </w:tr>
      <w:tr w:rsidR="00F80D92" w:rsidRPr="000278CB" w14:paraId="004A4355" w14:textId="77777777" w:rsidTr="00641774">
        <w:tc>
          <w:tcPr>
            <w:tcW w:w="9172" w:type="dxa"/>
            <w:tcBorders>
              <w:bottom w:val="single" w:sz="4" w:space="0" w:color="BFBFBF" w:themeColor="background1" w:themeShade="BF"/>
            </w:tcBorders>
          </w:tcPr>
          <w:p w14:paraId="6781F96A" w14:textId="77777777" w:rsidR="00F80D92" w:rsidRPr="000278CB" w:rsidRDefault="00F80D92">
            <w:pPr>
              <w:spacing w:line="260" w:lineRule="atLeast"/>
              <w:ind w:firstLine="591"/>
              <w:rPr>
                <w:rFonts w:ascii="Calibri" w:eastAsia="Calibri" w:hAnsi="Calibri" w:cs="Calibri"/>
                <w:sz w:val="20"/>
                <w:szCs w:val="20"/>
                <w:lang w:val="en-US"/>
              </w:rPr>
            </w:pPr>
            <w:r w:rsidRPr="00C31534">
              <w:rPr>
                <w:rFonts w:ascii="Calibri" w:eastAsia="Calibri" w:hAnsi="Calibri" w:cs="Calibri"/>
                <w:sz w:val="20"/>
                <w:szCs w:val="20"/>
                <w:lang w:val="en-US"/>
              </w:rPr>
              <w:t xml:space="preserve">4.1b National </w:t>
            </w:r>
            <w:r w:rsidRPr="00C31534">
              <w:rPr>
                <w:rFonts w:ascii="Calibri" w:eastAsia="Calibri" w:hAnsi="Calibri" w:cs="Calibri"/>
                <w:b/>
                <w:bCs/>
                <w:sz w:val="20"/>
                <w:szCs w:val="20"/>
                <w:lang w:val="en-US"/>
              </w:rPr>
              <w:t>budget</w:t>
            </w:r>
            <w:r w:rsidRPr="00C31534">
              <w:rPr>
                <w:rFonts w:ascii="Calibri" w:eastAsia="Calibri" w:hAnsi="Calibri" w:cs="Calibri"/>
                <w:sz w:val="20"/>
                <w:szCs w:val="20"/>
                <w:lang w:val="en-US"/>
              </w:rPr>
              <w:t xml:space="preserve"> for </w:t>
            </w:r>
            <w:r w:rsidRPr="00C31534">
              <w:rPr>
                <w:rFonts w:ascii="Calibri" w:eastAsia="Calibri" w:hAnsi="Calibri" w:cs="Calibri"/>
                <w:b/>
                <w:bCs/>
                <w:sz w:val="20"/>
                <w:szCs w:val="20"/>
                <w:lang w:val="en-US"/>
              </w:rPr>
              <w:t>IWRM elements</w:t>
            </w:r>
            <w:r w:rsidRPr="00C31534">
              <w:rPr>
                <w:rFonts w:ascii="Calibri" w:eastAsia="Calibri" w:hAnsi="Calibri" w:cs="Calibri"/>
                <w:sz w:val="20"/>
                <w:szCs w:val="20"/>
                <w:lang w:val="en-US"/>
              </w:rPr>
              <w:t xml:space="preserve"> (investments and recurrent costs)</w:t>
            </w:r>
          </w:p>
        </w:tc>
      </w:tr>
      <w:tr w:rsidR="00F80D92" w:rsidRPr="000278CB" w14:paraId="46EE4683" w14:textId="77777777" w:rsidTr="00641774">
        <w:tc>
          <w:tcPr>
            <w:tcW w:w="9172" w:type="dxa"/>
            <w:tcBorders>
              <w:top w:val="single" w:sz="4" w:space="0" w:color="BFBFBF" w:themeColor="background1" w:themeShade="BF"/>
            </w:tcBorders>
          </w:tcPr>
          <w:p w14:paraId="3C05D5F7" w14:textId="77777777" w:rsidR="00F80D92" w:rsidRPr="00C31534" w:rsidRDefault="00F80D92">
            <w:pPr>
              <w:rPr>
                <w:rFonts w:ascii="Calibri" w:eastAsia="Calibri" w:hAnsi="Calibri" w:cs="Calibri"/>
                <w:sz w:val="20"/>
                <w:szCs w:val="20"/>
                <w:lang w:val="en-US"/>
              </w:rPr>
            </w:pPr>
            <w:r w:rsidRPr="00C31534">
              <w:rPr>
                <w:rFonts w:ascii="Calibri" w:eastAsia="Calibri" w:hAnsi="Calibri" w:cs="Calibri"/>
                <w:sz w:val="20"/>
                <w:szCs w:val="20"/>
                <w:lang w:val="en-US"/>
              </w:rPr>
              <w:t xml:space="preserve">4.2 Status of financing for water resources development and management at </w:t>
            </w:r>
            <w:r w:rsidRPr="00C31534">
              <w:rPr>
                <w:rFonts w:ascii="Calibri" w:eastAsia="Calibri" w:hAnsi="Calibri" w:cs="Calibri"/>
                <w:b/>
                <w:sz w:val="20"/>
                <w:szCs w:val="20"/>
                <w:lang w:val="en-US"/>
              </w:rPr>
              <w:t>other levels</w:t>
            </w:r>
            <w:r w:rsidRPr="00C31534">
              <w:rPr>
                <w:rFonts w:ascii="Calibri" w:eastAsia="Calibri" w:hAnsi="Calibri" w:cs="Calibri"/>
                <w:sz w:val="20"/>
                <w:szCs w:val="20"/>
                <w:lang w:val="en-US"/>
              </w:rPr>
              <w:t>:</w:t>
            </w:r>
          </w:p>
        </w:tc>
      </w:tr>
      <w:tr w:rsidR="00F80D92" w:rsidRPr="000278CB" w14:paraId="1F533717" w14:textId="77777777" w:rsidTr="00641774">
        <w:tc>
          <w:tcPr>
            <w:tcW w:w="9172" w:type="dxa"/>
          </w:tcPr>
          <w:p w14:paraId="3E13F964" w14:textId="776AD593" w:rsidR="00F80D92" w:rsidRPr="000278CB" w:rsidRDefault="00F80D92">
            <w:pPr>
              <w:spacing w:line="260" w:lineRule="atLeast"/>
              <w:ind w:left="1025" w:hanging="434"/>
              <w:rPr>
                <w:rFonts w:ascii="Calibri" w:eastAsia="Calibri" w:hAnsi="Calibri" w:cs="Calibri"/>
                <w:sz w:val="20"/>
                <w:szCs w:val="20"/>
                <w:lang w:val="en-US"/>
              </w:rPr>
            </w:pPr>
            <w:r w:rsidRPr="000278CB">
              <w:rPr>
                <w:rFonts w:ascii="Calibri" w:eastAsia="Calibri" w:hAnsi="Calibri" w:cs="Calibri"/>
                <w:sz w:val="20"/>
                <w:szCs w:val="20"/>
                <w:lang w:val="en-US"/>
              </w:rPr>
              <w:t xml:space="preserve">4.2a </w:t>
            </w:r>
            <w:r w:rsidRPr="000278CB">
              <w:rPr>
                <w:rFonts w:ascii="Calibri" w:eastAsia="Calibri" w:hAnsi="Calibri" w:cs="Calibri"/>
                <w:b/>
                <w:bCs/>
                <w:sz w:val="20"/>
                <w:szCs w:val="20"/>
                <w:lang w:val="en-US"/>
              </w:rPr>
              <w:t>Sub-national or basin budgets</w:t>
            </w:r>
            <w:r w:rsidRPr="000278CB">
              <w:rPr>
                <w:rFonts w:ascii="Calibri" w:eastAsia="Calibri" w:hAnsi="Calibri" w:cs="Calibri"/>
                <w:sz w:val="20"/>
                <w:szCs w:val="20"/>
                <w:lang w:val="en-US"/>
              </w:rPr>
              <w:t xml:space="preserve"> for water resources </w:t>
            </w:r>
            <w:r w:rsidRPr="00C31534">
              <w:rPr>
                <w:rFonts w:ascii="Calibri" w:eastAsia="Calibri" w:hAnsi="Calibri" w:cs="Calibri"/>
                <w:b/>
                <w:bCs/>
                <w:sz w:val="20"/>
                <w:szCs w:val="20"/>
                <w:lang w:val="en-US"/>
              </w:rPr>
              <w:t>infrastructure</w:t>
            </w:r>
            <w:r w:rsidRPr="000278CB">
              <w:rPr>
                <w:rFonts w:ascii="Calibri" w:eastAsia="Calibri" w:hAnsi="Calibri" w:cs="Calibri"/>
                <w:sz w:val="20"/>
                <w:szCs w:val="20"/>
                <w:lang w:val="en-US"/>
              </w:rPr>
              <w:t xml:space="preserve"> (investment </w:t>
            </w:r>
            <w:r w:rsidR="00AA7816">
              <w:rPr>
                <w:rFonts w:ascii="Calibri" w:eastAsia="Calibri" w:hAnsi="Calibri" w:cs="Calibri"/>
                <w:sz w:val="20"/>
                <w:szCs w:val="20"/>
                <w:lang w:val="en-US"/>
              </w:rPr>
              <w:t>&amp;</w:t>
            </w:r>
            <w:r w:rsidR="00AA7816" w:rsidRPr="000278CB">
              <w:rPr>
                <w:rFonts w:ascii="Calibri" w:eastAsia="Calibri" w:hAnsi="Calibri" w:cs="Calibri"/>
                <w:sz w:val="20"/>
                <w:szCs w:val="20"/>
                <w:lang w:val="en-US"/>
              </w:rPr>
              <w:t xml:space="preserve"> </w:t>
            </w:r>
            <w:r w:rsidRPr="000278CB">
              <w:rPr>
                <w:rFonts w:ascii="Calibri" w:eastAsia="Calibri" w:hAnsi="Calibri" w:cs="Calibri"/>
                <w:sz w:val="20"/>
                <w:szCs w:val="20"/>
                <w:lang w:val="en-US"/>
              </w:rPr>
              <w:t>recurrent costs)</w:t>
            </w:r>
          </w:p>
        </w:tc>
      </w:tr>
      <w:tr w:rsidR="00F80D92" w:rsidRPr="000278CB" w14:paraId="671775F0" w14:textId="77777777" w:rsidTr="00641774">
        <w:tc>
          <w:tcPr>
            <w:tcW w:w="9172" w:type="dxa"/>
          </w:tcPr>
          <w:p w14:paraId="567524F4" w14:textId="77777777" w:rsidR="00F80D92" w:rsidRPr="000278CB" w:rsidRDefault="00F80D92">
            <w:pPr>
              <w:spacing w:line="260" w:lineRule="atLeast"/>
              <w:ind w:left="1025" w:hanging="434"/>
              <w:rPr>
                <w:rFonts w:ascii="Calibri" w:eastAsia="Calibri" w:hAnsi="Calibri" w:cs="Calibri"/>
                <w:sz w:val="20"/>
                <w:szCs w:val="20"/>
                <w:lang w:val="en-US"/>
              </w:rPr>
            </w:pPr>
            <w:r w:rsidRPr="00C31534">
              <w:rPr>
                <w:rFonts w:ascii="Calibri" w:eastAsia="Calibri" w:hAnsi="Calibri" w:cs="Calibri"/>
                <w:sz w:val="20"/>
                <w:szCs w:val="20"/>
                <w:lang w:val="en-US"/>
              </w:rPr>
              <w:t xml:space="preserve">4.2b </w:t>
            </w:r>
            <w:r w:rsidRPr="00C31534">
              <w:rPr>
                <w:rFonts w:ascii="Calibri" w:eastAsia="Calibri" w:hAnsi="Calibri" w:cs="Calibri"/>
                <w:b/>
                <w:bCs/>
                <w:sz w:val="20"/>
                <w:szCs w:val="20"/>
                <w:lang w:val="en-US"/>
              </w:rPr>
              <w:t>Revenues raised</w:t>
            </w:r>
            <w:r w:rsidRPr="00C31534">
              <w:rPr>
                <w:rFonts w:ascii="Calibri" w:eastAsia="Calibri" w:hAnsi="Calibri" w:cs="Calibri"/>
                <w:sz w:val="20"/>
                <w:szCs w:val="20"/>
                <w:lang w:val="en-US"/>
              </w:rPr>
              <w:t xml:space="preserve"> for IWRM elements</w:t>
            </w:r>
          </w:p>
        </w:tc>
      </w:tr>
      <w:tr w:rsidR="00F80D92" w:rsidRPr="000278CB" w14:paraId="491182EA" w14:textId="77777777" w:rsidTr="00641774">
        <w:tc>
          <w:tcPr>
            <w:tcW w:w="9172" w:type="dxa"/>
          </w:tcPr>
          <w:p w14:paraId="0A14551A" w14:textId="77777777" w:rsidR="00F80D92" w:rsidRPr="00C31534" w:rsidRDefault="00F80D92">
            <w:pPr>
              <w:spacing w:line="260" w:lineRule="atLeast"/>
              <w:ind w:left="1025" w:hanging="434"/>
              <w:rPr>
                <w:rFonts w:ascii="Calibri" w:eastAsia="Calibri" w:hAnsi="Calibri" w:cs="Calibri"/>
                <w:sz w:val="20"/>
                <w:szCs w:val="20"/>
                <w:lang w:val="en-US"/>
              </w:rPr>
            </w:pPr>
            <w:r w:rsidRPr="00C31534">
              <w:rPr>
                <w:rFonts w:ascii="Calibri" w:eastAsia="Calibri" w:hAnsi="Calibri" w:cs="Calibri"/>
                <w:sz w:val="20"/>
                <w:szCs w:val="20"/>
                <w:lang w:val="en-US"/>
              </w:rPr>
              <w:t xml:space="preserve">4.2c </w:t>
            </w:r>
            <w:r w:rsidRPr="00C31534">
              <w:rPr>
                <w:rFonts w:ascii="Calibri" w:eastAsia="Calibri" w:hAnsi="Calibri" w:cs="Calibri"/>
                <w:b/>
                <w:bCs/>
                <w:sz w:val="20"/>
                <w:szCs w:val="20"/>
                <w:lang w:val="en-US"/>
              </w:rPr>
              <w:t>Financing for</w:t>
            </w:r>
            <w:r w:rsidRPr="00C31534">
              <w:rPr>
                <w:rFonts w:ascii="Calibri" w:eastAsia="Calibri" w:hAnsi="Calibri" w:cs="Calibri"/>
                <w:sz w:val="20"/>
                <w:szCs w:val="20"/>
                <w:lang w:val="en-US"/>
              </w:rPr>
              <w:t xml:space="preserve"> </w:t>
            </w:r>
            <w:r w:rsidRPr="00C31534">
              <w:rPr>
                <w:rFonts w:ascii="Calibri" w:eastAsia="Calibri" w:hAnsi="Calibri" w:cs="Calibri"/>
                <w:b/>
                <w:bCs/>
                <w:sz w:val="20"/>
                <w:szCs w:val="20"/>
                <w:lang w:val="en-US"/>
              </w:rPr>
              <w:t>transboundary</w:t>
            </w:r>
            <w:r w:rsidRPr="00C31534">
              <w:rPr>
                <w:rFonts w:ascii="Calibri" w:eastAsia="Calibri" w:hAnsi="Calibri" w:cs="Calibri"/>
                <w:sz w:val="20"/>
                <w:szCs w:val="20"/>
                <w:lang w:val="en-US"/>
              </w:rPr>
              <w:t xml:space="preserve"> cooperation</w:t>
            </w:r>
          </w:p>
        </w:tc>
      </w:tr>
      <w:tr w:rsidR="00F80D92" w:rsidRPr="000278CB" w14:paraId="5FA6260C"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nil"/>
              <w:left w:val="nil"/>
              <w:bottom w:val="single" w:sz="4" w:space="0" w:color="A5A5A5"/>
              <w:right w:val="nil"/>
            </w:tcBorders>
          </w:tcPr>
          <w:p w14:paraId="3FD814E3" w14:textId="77777777" w:rsidR="00F80D92" w:rsidRPr="000278CB" w:rsidRDefault="00F80D92">
            <w:pPr>
              <w:spacing w:line="260" w:lineRule="atLeast"/>
              <w:ind w:left="1025" w:hanging="434"/>
              <w:rPr>
                <w:rFonts w:ascii="Calibri" w:eastAsia="Calibri" w:hAnsi="Calibri" w:cs="Calibri"/>
                <w:sz w:val="20"/>
                <w:szCs w:val="20"/>
                <w:lang w:val="en-US"/>
              </w:rPr>
            </w:pPr>
            <w:r w:rsidRPr="00C31534">
              <w:rPr>
                <w:rFonts w:ascii="Calibri" w:eastAsia="Calibri" w:hAnsi="Calibri" w:cs="Calibri"/>
                <w:sz w:val="20"/>
                <w:szCs w:val="20"/>
                <w:lang w:val="en-US"/>
              </w:rPr>
              <w:t xml:space="preserve">4.2d </w:t>
            </w:r>
            <w:r w:rsidRPr="00C31534">
              <w:rPr>
                <w:rFonts w:ascii="Calibri" w:eastAsia="Calibri" w:hAnsi="Calibri" w:cs="Calibri"/>
                <w:b/>
                <w:bCs/>
                <w:sz w:val="20"/>
                <w:szCs w:val="20"/>
                <w:lang w:val="en-US"/>
              </w:rPr>
              <w:t>Sub-national or basin budgets</w:t>
            </w:r>
            <w:r w:rsidRPr="00C31534">
              <w:rPr>
                <w:rFonts w:ascii="Calibri" w:eastAsia="Calibri" w:hAnsi="Calibri" w:cs="Calibri"/>
                <w:sz w:val="20"/>
                <w:szCs w:val="20"/>
                <w:lang w:val="en-US"/>
              </w:rPr>
              <w:t xml:space="preserve"> for </w:t>
            </w:r>
            <w:r w:rsidRPr="00C31534">
              <w:rPr>
                <w:rFonts w:ascii="Calibri" w:eastAsia="Calibri" w:hAnsi="Calibri" w:cs="Calibri"/>
                <w:b/>
                <w:bCs/>
                <w:sz w:val="20"/>
                <w:szCs w:val="20"/>
                <w:lang w:val="en-US"/>
              </w:rPr>
              <w:t>IWRM elements</w:t>
            </w:r>
            <w:r w:rsidRPr="00C31534">
              <w:rPr>
                <w:rFonts w:ascii="Calibri" w:eastAsia="Calibri" w:hAnsi="Calibri" w:cs="Calibri"/>
                <w:sz w:val="20"/>
                <w:szCs w:val="20"/>
                <w:lang w:val="en-US"/>
              </w:rPr>
              <w:t xml:space="preserve"> (investment and recurrent costs)</w:t>
            </w:r>
          </w:p>
        </w:tc>
      </w:tr>
      <w:tr w:rsidR="00F80D92" w:rsidRPr="000278CB" w14:paraId="3E8BC0A6" w14:textId="77777777" w:rsidTr="00641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2" w:type="dxa"/>
            <w:tcBorders>
              <w:top w:val="single" w:sz="4" w:space="0" w:color="A5A5A5"/>
              <w:left w:val="nil"/>
              <w:bottom w:val="single" w:sz="4" w:space="0" w:color="A5A5A5"/>
              <w:right w:val="nil"/>
            </w:tcBorders>
          </w:tcPr>
          <w:p w14:paraId="040E958C" w14:textId="782148E9" w:rsidR="00F80D92" w:rsidRPr="00C31534" w:rsidRDefault="00F80D92" w:rsidP="00C31534">
            <w:pPr>
              <w:rPr>
                <w:rFonts w:ascii="Calibri" w:eastAsia="Calibri" w:hAnsi="Calibri" w:cs="Arial"/>
                <w:sz w:val="20"/>
                <w:szCs w:val="20"/>
                <w:lang w:val="en-US"/>
              </w:rPr>
            </w:pPr>
            <w:r w:rsidRPr="00C31534">
              <w:rPr>
                <w:rFonts w:ascii="Calibri" w:eastAsia="Calibri" w:hAnsi="Calibri" w:cs="Arial"/>
                <w:sz w:val="20"/>
                <w:szCs w:val="20"/>
                <w:lang w:val="en-US"/>
              </w:rPr>
              <w:t>CC-4 Integration of climate-related funding into financing for WRM and vice versa</w:t>
            </w:r>
          </w:p>
        </w:tc>
      </w:tr>
      <w:tr w:rsidR="000C5B57" w:rsidRPr="000278CB" w14:paraId="38D98DA3" w14:textId="77777777" w:rsidTr="00641774">
        <w:tc>
          <w:tcPr>
            <w:tcW w:w="9172" w:type="dxa"/>
            <w:shd w:val="clear" w:color="auto" w:fill="00B0F0"/>
          </w:tcPr>
          <w:p w14:paraId="1938F346" w14:textId="77777777" w:rsidR="000C5B57" w:rsidRPr="00903831" w:rsidRDefault="000C5B57" w:rsidP="00B170EC">
            <w:pPr>
              <w:rPr>
                <w:rFonts w:ascii="Calibri" w:eastAsia="Calibri" w:hAnsi="Calibri" w:cs="Arial"/>
                <w:bCs/>
                <w:color w:val="FFFFFF"/>
                <w:sz w:val="20"/>
                <w:lang w:val="en-US"/>
              </w:rPr>
            </w:pPr>
            <w:r w:rsidRPr="00903831">
              <w:rPr>
                <w:rFonts w:ascii="Calibri" w:eastAsia="Calibri" w:hAnsi="Calibri" w:cs="Arial"/>
                <w:bCs/>
                <w:color w:val="FFFFFF"/>
                <w:sz w:val="20"/>
                <w:lang w:val="en-US"/>
              </w:rPr>
              <w:t>SECTION 5: SDG indicator 6.5.1 calculation, target setting and priority actions</w:t>
            </w:r>
          </w:p>
        </w:tc>
      </w:tr>
      <w:tr w:rsidR="00641774" w:rsidRPr="000278CB" w14:paraId="79AC68A1" w14:textId="77777777" w:rsidTr="00641774">
        <w:tc>
          <w:tcPr>
            <w:tcW w:w="9172" w:type="dxa"/>
            <w:shd w:val="clear" w:color="auto" w:fill="00B0F0"/>
          </w:tcPr>
          <w:p w14:paraId="75CDF7E8" w14:textId="77777777" w:rsidR="00641774" w:rsidRPr="00903831" w:rsidRDefault="00641774" w:rsidP="00B170EC">
            <w:pPr>
              <w:rPr>
                <w:rFonts w:ascii="Calibri" w:eastAsia="Calibri" w:hAnsi="Calibri" w:cs="Arial"/>
                <w:bCs/>
                <w:color w:val="FFFFFF"/>
                <w:sz w:val="20"/>
              </w:rPr>
            </w:pPr>
            <w:r w:rsidRPr="00903831">
              <w:rPr>
                <w:rFonts w:ascii="Calibri" w:eastAsia="Calibri" w:hAnsi="Calibri" w:cs="Arial"/>
                <w:bCs/>
                <w:color w:val="FFFFFF"/>
                <w:sz w:val="20"/>
              </w:rPr>
              <w:t xml:space="preserve">SECTION 6: Country reporting process </w:t>
            </w:r>
          </w:p>
        </w:tc>
      </w:tr>
    </w:tbl>
    <w:p w14:paraId="2BAEE4BA" w14:textId="051476EE" w:rsidR="00F80D92" w:rsidRDefault="001A69EC" w:rsidP="00111A3F">
      <w:pPr>
        <w:pStyle w:val="Heading2"/>
        <w:spacing w:before="0"/>
        <w:ind w:left="578" w:hanging="578"/>
      </w:pPr>
      <w:bookmarkStart w:id="8" w:name="_Toc219452827"/>
      <w:r>
        <w:rPr>
          <w:lang w:val="en-MY"/>
        </w:rPr>
        <w:lastRenderedPageBreak/>
        <w:t>Updating</w:t>
      </w:r>
      <w:r w:rsidR="00F80D92">
        <w:rPr>
          <w:lang w:val="en-MY"/>
        </w:rPr>
        <w:t xml:space="preserve"> the </w:t>
      </w:r>
      <w:r w:rsidR="00F80D92" w:rsidRPr="00DC5B77">
        <w:rPr>
          <w:lang w:val="en-MY"/>
        </w:rPr>
        <w:t>Survey</w:t>
      </w:r>
      <w:bookmarkEnd w:id="8"/>
    </w:p>
    <w:p w14:paraId="1C245DE6" w14:textId="396B709F" w:rsidR="000B747D" w:rsidRPr="000751FD" w:rsidRDefault="00F80D92" w:rsidP="00C9437B">
      <w:pPr>
        <w:pStyle w:val="Body"/>
        <w:rPr>
          <w:lang w:val="en-US"/>
        </w:rPr>
      </w:pPr>
      <w:r w:rsidRPr="000751FD">
        <w:rPr>
          <w:lang w:val="en-US"/>
        </w:rPr>
        <w:t>Following recommendations f</w:t>
      </w:r>
      <w:r w:rsidR="004F498F" w:rsidRPr="000751FD">
        <w:rPr>
          <w:lang w:val="en-US"/>
        </w:rPr>
        <w:t>r</w:t>
      </w:r>
      <w:r w:rsidR="00B62B50" w:rsidRPr="000751FD">
        <w:rPr>
          <w:lang w:val="en-US"/>
        </w:rPr>
        <w:t>o</w:t>
      </w:r>
      <w:r w:rsidRPr="000751FD">
        <w:rPr>
          <w:lang w:val="en-US"/>
        </w:rPr>
        <w:t xml:space="preserve">m previous </w:t>
      </w:r>
      <w:r w:rsidR="007F7E34" w:rsidRPr="000751FD">
        <w:rPr>
          <w:lang w:val="en-US"/>
        </w:rPr>
        <w:t xml:space="preserve">data </w:t>
      </w:r>
      <w:r w:rsidR="00BC5372" w:rsidRPr="000751FD">
        <w:rPr>
          <w:lang w:val="en-US"/>
        </w:rPr>
        <w:t>collection</w:t>
      </w:r>
      <w:r w:rsidR="007F7E34" w:rsidRPr="000751FD">
        <w:rPr>
          <w:lang w:val="en-US"/>
        </w:rPr>
        <w:t xml:space="preserve"> </w:t>
      </w:r>
      <w:r w:rsidRPr="000751FD">
        <w:rPr>
          <w:lang w:val="en-US"/>
        </w:rPr>
        <w:t xml:space="preserve">rounds, </w:t>
      </w:r>
      <w:r w:rsidR="004F498F" w:rsidRPr="000751FD">
        <w:rPr>
          <w:lang w:val="en-US"/>
        </w:rPr>
        <w:t>a</w:t>
      </w:r>
      <w:r w:rsidRPr="000751FD">
        <w:rPr>
          <w:lang w:val="en-US"/>
        </w:rPr>
        <w:t xml:space="preserve">ll </w:t>
      </w:r>
      <w:r w:rsidR="000B747D" w:rsidRPr="000751FD">
        <w:rPr>
          <w:lang w:val="en-US"/>
        </w:rPr>
        <w:t xml:space="preserve">country </w:t>
      </w:r>
      <w:r w:rsidRPr="000751FD">
        <w:rPr>
          <w:lang w:val="en-US"/>
        </w:rPr>
        <w:t>surveys have been pre-filled using responses from previous round</w:t>
      </w:r>
      <w:r w:rsidR="007F7E34" w:rsidRPr="000751FD">
        <w:rPr>
          <w:lang w:val="en-US"/>
        </w:rPr>
        <w:t>s</w:t>
      </w:r>
      <w:r w:rsidRPr="000751FD">
        <w:rPr>
          <w:lang w:val="en-US"/>
        </w:rPr>
        <w:t xml:space="preserve"> (usually 2023, or 2020 if necessary).</w:t>
      </w:r>
      <w:r w:rsidR="007764DB" w:rsidRPr="000751FD">
        <w:rPr>
          <w:lang w:val="en-US"/>
        </w:rPr>
        <w:t xml:space="preserve"> Th</w:t>
      </w:r>
      <w:r w:rsidR="00271910" w:rsidRPr="000751FD">
        <w:rPr>
          <w:lang w:val="en-US"/>
        </w:rPr>
        <w:t>is</w:t>
      </w:r>
      <w:r w:rsidR="007764DB" w:rsidRPr="000751FD">
        <w:rPr>
          <w:lang w:val="en-US"/>
        </w:rPr>
        <w:t xml:space="preserve"> has been done to help countries </w:t>
      </w:r>
      <w:proofErr w:type="gramStart"/>
      <w:r w:rsidR="007764DB" w:rsidRPr="000751FD">
        <w:rPr>
          <w:lang w:val="en-US"/>
        </w:rPr>
        <w:t>build on</w:t>
      </w:r>
      <w:proofErr w:type="gramEnd"/>
      <w:r w:rsidR="007764DB" w:rsidRPr="000751FD">
        <w:rPr>
          <w:lang w:val="en-US"/>
        </w:rPr>
        <w:t xml:space="preserve"> previous submissions and to reduce the overall reporting burden. A list of minor differences between the 2026 survey and previous surveys can be found in </w:t>
      </w:r>
      <w:hyperlink w:anchor="_ANNEX_3:_SURVEY" w:history="1">
        <w:r w:rsidR="007764DB" w:rsidRPr="00DF5EAA">
          <w:rPr>
            <w:rStyle w:val="Hyperlink"/>
            <w:lang w:val="en-US"/>
          </w:rPr>
          <w:t xml:space="preserve">Annex </w:t>
        </w:r>
        <w:r w:rsidR="006C5FCF">
          <w:rPr>
            <w:rStyle w:val="Hyperlink"/>
            <w:lang w:val="en-US"/>
          </w:rPr>
          <w:t>3</w:t>
        </w:r>
      </w:hyperlink>
      <w:r w:rsidR="007764DB" w:rsidRPr="000751FD">
        <w:rPr>
          <w:lang w:val="en-US"/>
        </w:rPr>
        <w:t>.</w:t>
      </w:r>
      <w:r w:rsidRPr="000751FD">
        <w:rPr>
          <w:lang w:val="en-US"/>
        </w:rPr>
        <w:t xml:space="preserve"> </w:t>
      </w:r>
      <w:r w:rsidR="000B747D" w:rsidRPr="000751FD">
        <w:rPr>
          <w:lang w:val="en-US"/>
        </w:rPr>
        <w:t>191 countries have submitted 6.5.1 surveys across 2017, 2020 and 2023</w:t>
      </w:r>
      <w:r w:rsidR="001B180A">
        <w:rPr>
          <w:lang w:val="en-US"/>
        </w:rPr>
        <w:t>.</w:t>
      </w:r>
    </w:p>
    <w:p w14:paraId="6F898504" w14:textId="78EFDE32" w:rsidR="00F80D92" w:rsidRPr="00BC5372" w:rsidRDefault="00F80D92" w:rsidP="00C9437B">
      <w:pPr>
        <w:pStyle w:val="Body"/>
        <w:rPr>
          <w:lang w:val="en-GB"/>
        </w:rPr>
      </w:pPr>
      <w:r w:rsidRPr="000751FD">
        <w:rPr>
          <w:lang w:val="en-US"/>
        </w:rPr>
        <w:t xml:space="preserve">Countries are responsible for </w:t>
      </w:r>
      <w:r w:rsidRPr="000751FD">
        <w:rPr>
          <w:b/>
          <w:bCs/>
          <w:lang w:val="en-US"/>
        </w:rPr>
        <w:t>updating the text and score to reflect the situation in</w:t>
      </w:r>
      <w:r w:rsidRPr="000751FD">
        <w:rPr>
          <w:lang w:val="en-US"/>
        </w:rPr>
        <w:t xml:space="preserve"> </w:t>
      </w:r>
      <w:r w:rsidRPr="000751FD">
        <w:rPr>
          <w:b/>
          <w:bCs/>
          <w:lang w:val="en-US"/>
        </w:rPr>
        <w:t>2026.</w:t>
      </w:r>
      <w:r w:rsidRPr="000751FD">
        <w:rPr>
          <w:lang w:val="en-US"/>
        </w:rPr>
        <w:t xml:space="preserve"> Use the one-page survey overview</w:t>
      </w:r>
      <w:r w:rsidR="0012681D" w:rsidRPr="000751FD">
        <w:rPr>
          <w:lang w:val="en-US"/>
        </w:rPr>
        <w:t xml:space="preserve"> above</w:t>
      </w:r>
      <w:r w:rsidRPr="000751FD">
        <w:rPr>
          <w:lang w:val="en-US"/>
        </w:rPr>
        <w:t xml:space="preserve"> to get </w:t>
      </w:r>
      <w:r w:rsidRPr="00BC5372">
        <w:rPr>
          <w:lang w:val="en-GB"/>
        </w:rPr>
        <w:t>an understanding of the links between questions</w:t>
      </w:r>
      <w:r w:rsidR="004F498F" w:rsidRPr="00BC5372">
        <w:rPr>
          <w:lang w:val="en-GB"/>
        </w:rPr>
        <w:t>.</w:t>
      </w:r>
      <w:r w:rsidRPr="00BC5372">
        <w:rPr>
          <w:lang w:val="en-GB"/>
        </w:rPr>
        <w:t xml:space="preserve"> </w:t>
      </w:r>
      <w:r w:rsidR="004F498F" w:rsidRPr="00BC5372">
        <w:rPr>
          <w:lang w:val="en-GB"/>
        </w:rPr>
        <w:t>T</w:t>
      </w:r>
      <w:r w:rsidRPr="00BC5372">
        <w:rPr>
          <w:lang w:val="en-GB"/>
        </w:rPr>
        <w:t>his can facilitate cross-referencing between questions, ensure free-text responses are in the appropriate location, and minimise duplication</w:t>
      </w:r>
      <w:r w:rsidR="004F498F" w:rsidRPr="00BC5372">
        <w:rPr>
          <w:lang w:val="en-GB"/>
        </w:rPr>
        <w:t>.</w:t>
      </w:r>
      <w:r w:rsidRPr="00BC5372">
        <w:rPr>
          <w:lang w:val="en-GB"/>
        </w:rPr>
        <w:t xml:space="preserve"> The process for each question is as follows: </w:t>
      </w:r>
    </w:p>
    <w:p w14:paraId="45C3C5B6" w14:textId="7FA793BD" w:rsidR="00F80D92" w:rsidRPr="001B180A" w:rsidRDefault="00F80D92" w:rsidP="001B180A">
      <w:pPr>
        <w:pStyle w:val="ListParagraph"/>
        <w:numPr>
          <w:ilvl w:val="0"/>
          <w:numId w:val="4"/>
        </w:numPr>
        <w:ind w:right="-46"/>
        <w:rPr>
          <w:b/>
          <w:bCs/>
          <w:sz w:val="22"/>
          <w:szCs w:val="22"/>
          <w:lang w:val="en-US"/>
        </w:rPr>
      </w:pPr>
      <w:r w:rsidRPr="001B180A">
        <w:rPr>
          <w:b/>
          <w:bCs/>
          <w:sz w:val="22"/>
          <w:szCs w:val="22"/>
          <w:lang w:val="en-US"/>
        </w:rPr>
        <w:t xml:space="preserve">Review previous responses: </w:t>
      </w:r>
      <w:r w:rsidRPr="001B180A">
        <w:rPr>
          <w:sz w:val="22"/>
          <w:szCs w:val="22"/>
          <w:lang w:val="en-US"/>
        </w:rPr>
        <w:t xml:space="preserve">Review scores and pre-filled free-text answers from previous rounds. </w:t>
      </w:r>
    </w:p>
    <w:p w14:paraId="0284AFB0" w14:textId="1139E406" w:rsidR="00F80D92" w:rsidRPr="00BC5372" w:rsidRDefault="00F80D92" w:rsidP="0071781E">
      <w:pPr>
        <w:pStyle w:val="ListParagraph"/>
        <w:numPr>
          <w:ilvl w:val="0"/>
          <w:numId w:val="4"/>
        </w:numPr>
        <w:ind w:left="284" w:right="-46" w:hanging="284"/>
        <w:rPr>
          <w:b/>
          <w:bCs/>
          <w:sz w:val="22"/>
          <w:szCs w:val="22"/>
          <w:lang w:val="en-GB"/>
        </w:rPr>
      </w:pPr>
      <w:r w:rsidRPr="00BC5372">
        <w:rPr>
          <w:b/>
          <w:bCs/>
          <w:sz w:val="22"/>
          <w:szCs w:val="22"/>
          <w:lang w:val="en-GB"/>
        </w:rPr>
        <w:t>Update</w:t>
      </w:r>
      <w:r w:rsidR="005B52AA" w:rsidRPr="00BC5372">
        <w:rPr>
          <w:b/>
          <w:bCs/>
          <w:sz w:val="22"/>
          <w:szCs w:val="22"/>
          <w:lang w:val="en-GB"/>
        </w:rPr>
        <w:t xml:space="preserve"> </w:t>
      </w:r>
      <w:r w:rsidR="008A196C" w:rsidRPr="00BC5372">
        <w:rPr>
          <w:b/>
          <w:bCs/>
          <w:sz w:val="22"/>
          <w:szCs w:val="22"/>
          <w:lang w:val="en-GB"/>
        </w:rPr>
        <w:t>and fill-in</w:t>
      </w:r>
      <w:r w:rsidRPr="00BC5372">
        <w:rPr>
          <w:b/>
          <w:bCs/>
          <w:sz w:val="22"/>
          <w:szCs w:val="22"/>
          <w:lang w:val="en-GB"/>
        </w:rPr>
        <w:t xml:space="preserve"> the three free-text fields </w:t>
      </w:r>
      <w:r w:rsidRPr="00BC5372">
        <w:rPr>
          <w:sz w:val="22"/>
          <w:szCs w:val="22"/>
          <w:lang w:val="en-GB"/>
        </w:rPr>
        <w:t>(</w:t>
      </w:r>
      <w:r w:rsidR="001B180A">
        <w:rPr>
          <w:sz w:val="22"/>
          <w:szCs w:val="22"/>
          <w:lang w:val="en-GB"/>
        </w:rPr>
        <w:t>Fig.</w:t>
      </w:r>
      <w:r w:rsidRPr="00BC5372">
        <w:rPr>
          <w:sz w:val="22"/>
          <w:szCs w:val="22"/>
          <w:lang w:val="en-GB"/>
        </w:rPr>
        <w:t xml:space="preserve"> 1</w:t>
      </w:r>
      <w:r w:rsidR="00110552" w:rsidRPr="00BC5372">
        <w:rPr>
          <w:sz w:val="22"/>
          <w:szCs w:val="22"/>
          <w:lang w:val="en-GB"/>
        </w:rPr>
        <w:t>, orange box</w:t>
      </w:r>
      <w:r w:rsidRPr="00BC5372">
        <w:rPr>
          <w:sz w:val="22"/>
          <w:szCs w:val="22"/>
          <w:lang w:val="en-GB"/>
        </w:rPr>
        <w:t xml:space="preserve">), paying close attention to the guidance text in italic font in square brackets in each field, and all explanatory text and footnotes: </w:t>
      </w:r>
    </w:p>
    <w:p w14:paraId="37549AE0" w14:textId="6F45F914" w:rsidR="00F80D92" w:rsidRPr="00BC5372" w:rsidRDefault="00F80D92" w:rsidP="34061A9D">
      <w:pPr>
        <w:pStyle w:val="ListParagraph"/>
        <w:ind w:left="709" w:hanging="284"/>
        <w:rPr>
          <w:b/>
          <w:bCs/>
          <w:sz w:val="22"/>
          <w:szCs w:val="22"/>
          <w:lang w:val="en-US"/>
        </w:rPr>
      </w:pPr>
      <w:r w:rsidRPr="34061A9D">
        <w:rPr>
          <w:b/>
          <w:bCs/>
          <w:sz w:val="22"/>
          <w:szCs w:val="22"/>
          <w:lang w:val="en-US"/>
        </w:rPr>
        <w:t>Status:</w:t>
      </w:r>
      <w:r w:rsidRPr="34061A9D">
        <w:rPr>
          <w:sz w:val="22"/>
          <w:szCs w:val="22"/>
          <w:lang w:val="en-US"/>
        </w:rPr>
        <w:t xml:space="preserve"> maintain all relevant information from previous rounds, adding more detail where needed, and </w:t>
      </w:r>
      <w:r w:rsidRPr="34061A9D">
        <w:rPr>
          <w:b/>
          <w:bCs/>
          <w:sz w:val="22"/>
          <w:szCs w:val="22"/>
          <w:lang w:val="en-US"/>
        </w:rPr>
        <w:t>updating to reflect the situation in 2026</w:t>
      </w:r>
      <w:r w:rsidRPr="34061A9D">
        <w:rPr>
          <w:sz w:val="22"/>
          <w:szCs w:val="22"/>
          <w:lang w:val="en-US"/>
        </w:rPr>
        <w:t xml:space="preserve">. </w:t>
      </w:r>
      <w:r w:rsidR="008A196C" w:rsidRPr="34061A9D">
        <w:rPr>
          <w:sz w:val="22"/>
          <w:szCs w:val="22"/>
          <w:lang w:val="en-US"/>
        </w:rPr>
        <w:t>Include concrete details in your response to justify the score: e.g. names and years of policies, arrangements, responsible institutions, examples of implementation.</w:t>
      </w:r>
      <w:r w:rsidRPr="34061A9D">
        <w:rPr>
          <w:sz w:val="22"/>
          <w:szCs w:val="22"/>
          <w:lang w:val="en-US"/>
        </w:rPr>
        <w:t xml:space="preserve"> </w:t>
      </w:r>
      <w:r w:rsidR="58E3127F" w:rsidRPr="34061A9D">
        <w:rPr>
          <w:sz w:val="22"/>
          <w:szCs w:val="22"/>
          <w:lang w:val="en-US"/>
        </w:rPr>
        <w:t xml:space="preserve">You </w:t>
      </w:r>
      <w:r w:rsidR="0EB30E49" w:rsidRPr="34061A9D">
        <w:rPr>
          <w:sz w:val="22"/>
          <w:szCs w:val="22"/>
          <w:lang w:val="en-US"/>
        </w:rPr>
        <w:t xml:space="preserve">may wish to update any formatting that may have been lost </w:t>
      </w:r>
      <w:r w:rsidR="712854C8" w:rsidRPr="34061A9D">
        <w:rPr>
          <w:sz w:val="22"/>
          <w:szCs w:val="22"/>
          <w:lang w:val="en-US"/>
        </w:rPr>
        <w:t>in the pre-filling process (hyperlinks, bold, etc.).</w:t>
      </w:r>
      <w:r w:rsidRPr="34061A9D">
        <w:rPr>
          <w:sz w:val="22"/>
          <w:szCs w:val="22"/>
          <w:lang w:val="en-US"/>
        </w:rPr>
        <w:t xml:space="preserve"> </w:t>
      </w:r>
    </w:p>
    <w:p w14:paraId="43C65619" w14:textId="7A00905D" w:rsidR="00F80D92" w:rsidRPr="00BC5372" w:rsidRDefault="00F80D92" w:rsidP="34061A9D">
      <w:pPr>
        <w:pStyle w:val="ListParagraph"/>
        <w:ind w:left="709" w:hanging="284"/>
        <w:rPr>
          <w:b/>
          <w:bCs/>
          <w:sz w:val="22"/>
          <w:szCs w:val="22"/>
          <w:lang w:val="en-US"/>
        </w:rPr>
      </w:pPr>
      <w:r w:rsidRPr="34061A9D">
        <w:rPr>
          <w:b/>
          <w:bCs/>
          <w:sz w:val="22"/>
          <w:szCs w:val="22"/>
          <w:lang w:val="en-US"/>
        </w:rPr>
        <w:t>Changes since 2023 reporting:</w:t>
      </w:r>
      <w:r w:rsidRPr="34061A9D">
        <w:rPr>
          <w:sz w:val="22"/>
          <w:szCs w:val="22"/>
          <w:lang w:val="en-US"/>
        </w:rPr>
        <w:t xml:space="preserve"> </w:t>
      </w:r>
      <w:r w:rsidR="001B180A">
        <w:rPr>
          <w:sz w:val="22"/>
          <w:szCs w:val="22"/>
          <w:lang w:val="en-US"/>
        </w:rPr>
        <w:t xml:space="preserve">give </w:t>
      </w:r>
      <w:proofErr w:type="gramStart"/>
      <w:r w:rsidRPr="34061A9D">
        <w:rPr>
          <w:sz w:val="22"/>
          <w:szCs w:val="22"/>
          <w:lang w:val="en-US"/>
        </w:rPr>
        <w:t>a brief summary</w:t>
      </w:r>
      <w:proofErr w:type="gramEnd"/>
      <w:r w:rsidRPr="34061A9D">
        <w:rPr>
          <w:sz w:val="22"/>
          <w:szCs w:val="22"/>
          <w:lang w:val="en-US"/>
        </w:rPr>
        <w:t xml:space="preserve"> to explain any differences in implementation status between 2023 and 2026</w:t>
      </w:r>
      <w:r w:rsidR="1C0FD6F8" w:rsidRPr="34061A9D">
        <w:rPr>
          <w:sz w:val="22"/>
          <w:szCs w:val="22"/>
          <w:lang w:val="en-US"/>
        </w:rPr>
        <w:t>.</w:t>
      </w:r>
      <w:r w:rsidRPr="34061A9D">
        <w:rPr>
          <w:sz w:val="22"/>
          <w:szCs w:val="22"/>
          <w:lang w:val="en-US"/>
        </w:rPr>
        <w:t xml:space="preserve"> This field may also be used to explain any </w:t>
      </w:r>
      <w:r w:rsidR="00BC5372" w:rsidRPr="34061A9D">
        <w:rPr>
          <w:sz w:val="22"/>
          <w:szCs w:val="22"/>
          <w:lang w:val="en-US"/>
        </w:rPr>
        <w:t>discrepancies</w:t>
      </w:r>
      <w:r w:rsidRPr="34061A9D">
        <w:rPr>
          <w:sz w:val="22"/>
          <w:szCs w:val="22"/>
          <w:lang w:val="en-US"/>
        </w:rPr>
        <w:t xml:space="preserve"> in scores between reporting rounds (e.g. scores that may have fluctuated up and down, partly due to implementation progress on the ground, but potentially also influenced by increasing understanding of the question between rounds). </w:t>
      </w:r>
    </w:p>
    <w:p w14:paraId="66828CEA" w14:textId="1CFBBFA3" w:rsidR="00F80D92" w:rsidRPr="00BC5372" w:rsidRDefault="00F80D92" w:rsidP="0071781E">
      <w:pPr>
        <w:pStyle w:val="ListParagraph"/>
        <w:numPr>
          <w:ilvl w:val="1"/>
          <w:numId w:val="7"/>
        </w:numPr>
        <w:spacing w:after="0"/>
        <w:ind w:left="709" w:hanging="284"/>
        <w:rPr>
          <w:b/>
          <w:bCs/>
          <w:sz w:val="22"/>
          <w:szCs w:val="22"/>
          <w:lang w:val="en-GB"/>
        </w:rPr>
      </w:pPr>
      <w:r w:rsidRPr="00BC5372">
        <w:rPr>
          <w:b/>
          <w:bCs/>
          <w:sz w:val="22"/>
          <w:szCs w:val="22"/>
          <w:lang w:val="en-GB"/>
        </w:rPr>
        <w:t>Way forward:</w:t>
      </w:r>
      <w:r w:rsidRPr="00BC5372">
        <w:rPr>
          <w:sz w:val="22"/>
          <w:szCs w:val="22"/>
          <w:lang w:val="en-GB"/>
        </w:rPr>
        <w:t xml:space="preserve"> planned and/or recommended activities to advance the score on that topic. </w:t>
      </w:r>
    </w:p>
    <w:p w14:paraId="70619B02" w14:textId="238D1AAA" w:rsidR="00383491" w:rsidRPr="00383491" w:rsidRDefault="00F80D92" w:rsidP="0071781E">
      <w:pPr>
        <w:pStyle w:val="ListParagraph"/>
        <w:numPr>
          <w:ilvl w:val="0"/>
          <w:numId w:val="4"/>
        </w:numPr>
        <w:spacing w:after="0"/>
        <w:ind w:left="284" w:hanging="284"/>
        <w:rPr>
          <w:lang w:val="en-GB"/>
        </w:rPr>
      </w:pPr>
      <w:r w:rsidRPr="00BC5372">
        <w:rPr>
          <w:b/>
          <w:bCs/>
          <w:sz w:val="22"/>
          <w:szCs w:val="22"/>
          <w:lang w:val="en-GB"/>
        </w:rPr>
        <w:t xml:space="preserve">Give 2026 score: </w:t>
      </w:r>
      <w:r w:rsidRPr="00BC5372">
        <w:rPr>
          <w:sz w:val="22"/>
          <w:szCs w:val="22"/>
          <w:lang w:val="en-GB"/>
        </w:rPr>
        <w:t>based on responses in the free text fields, enter the score, in increments of 10,</w:t>
      </w:r>
      <w:r w:rsidRPr="007F6CB3">
        <w:rPr>
          <w:sz w:val="22"/>
          <w:szCs w:val="22"/>
          <w:lang w:val="en-US"/>
        </w:rPr>
        <w:t xml:space="preserve"> from 0-100, in the yellow highlighted cell below “2026” (Fig</w:t>
      </w:r>
      <w:r w:rsidR="00111A3F">
        <w:rPr>
          <w:sz w:val="22"/>
          <w:szCs w:val="22"/>
          <w:lang w:val="en-US"/>
        </w:rPr>
        <w:t xml:space="preserve">. </w:t>
      </w:r>
      <w:r w:rsidRPr="007F6CB3">
        <w:rPr>
          <w:sz w:val="22"/>
          <w:szCs w:val="22"/>
          <w:lang w:val="en-US"/>
        </w:rPr>
        <w:t>1). Use the threshold descriptions to guide the score selection (</w:t>
      </w:r>
      <w:r w:rsidR="00110552">
        <w:rPr>
          <w:sz w:val="22"/>
          <w:szCs w:val="22"/>
          <w:lang w:val="en-US"/>
        </w:rPr>
        <w:t>F</w:t>
      </w:r>
      <w:r w:rsidRPr="007F6CB3">
        <w:rPr>
          <w:sz w:val="22"/>
          <w:szCs w:val="22"/>
          <w:lang w:val="en-US"/>
        </w:rPr>
        <w:t>ig</w:t>
      </w:r>
      <w:r w:rsidR="00111A3F">
        <w:rPr>
          <w:sz w:val="22"/>
          <w:szCs w:val="22"/>
          <w:lang w:val="en-US"/>
        </w:rPr>
        <w:t>.</w:t>
      </w:r>
      <w:r w:rsidRPr="007F6CB3">
        <w:rPr>
          <w:sz w:val="22"/>
          <w:szCs w:val="22"/>
          <w:lang w:val="en-US"/>
        </w:rPr>
        <w:t xml:space="preserve"> 1</w:t>
      </w:r>
      <w:r w:rsidR="00110552">
        <w:rPr>
          <w:sz w:val="22"/>
          <w:szCs w:val="22"/>
          <w:lang w:val="en-US"/>
        </w:rPr>
        <w:t>, red box</w:t>
      </w:r>
      <w:r w:rsidRPr="007F6CB3">
        <w:rPr>
          <w:sz w:val="22"/>
          <w:szCs w:val="22"/>
          <w:lang w:val="en-US"/>
        </w:rPr>
        <w:t xml:space="preserve">). Note that all previous thresholds must also be met to give a particular score. </w:t>
      </w:r>
      <w:r w:rsidR="001B180A">
        <w:rPr>
          <w:sz w:val="22"/>
          <w:szCs w:val="22"/>
          <w:lang w:val="en-US"/>
        </w:rPr>
        <w:t>S</w:t>
      </w:r>
      <w:r w:rsidRPr="007F6CB3">
        <w:rPr>
          <w:sz w:val="22"/>
          <w:szCs w:val="22"/>
          <w:lang w:val="en-US"/>
        </w:rPr>
        <w:t>cores between threshold</w:t>
      </w:r>
      <w:r w:rsidR="0068465A">
        <w:rPr>
          <w:sz w:val="22"/>
          <w:szCs w:val="22"/>
          <w:lang w:val="en-US"/>
        </w:rPr>
        <w:t>s</w:t>
      </w:r>
      <w:r w:rsidRPr="007F6CB3">
        <w:rPr>
          <w:sz w:val="22"/>
          <w:szCs w:val="22"/>
          <w:lang w:val="en-US"/>
        </w:rPr>
        <w:t xml:space="preserve"> may be </w:t>
      </w:r>
      <w:r w:rsidR="00110552">
        <w:rPr>
          <w:sz w:val="22"/>
          <w:szCs w:val="22"/>
          <w:lang w:val="en-US"/>
        </w:rPr>
        <w:t>used</w:t>
      </w:r>
      <w:r w:rsidR="00C76EBD">
        <w:rPr>
          <w:sz w:val="22"/>
          <w:szCs w:val="22"/>
          <w:lang w:val="en-US"/>
        </w:rPr>
        <w:t>, but still in increments of 10</w:t>
      </w:r>
      <w:r w:rsidRPr="007F6CB3">
        <w:rPr>
          <w:sz w:val="22"/>
          <w:szCs w:val="22"/>
          <w:lang w:val="en-US"/>
        </w:rPr>
        <w:t xml:space="preserve"> (e.g. 10, 30, 50, </w:t>
      </w:r>
      <w:r w:rsidR="008A16AC">
        <w:rPr>
          <w:sz w:val="22"/>
          <w:szCs w:val="22"/>
          <w:lang w:val="en-US"/>
        </w:rPr>
        <w:t>70, 90</w:t>
      </w:r>
      <w:r w:rsidRPr="007F6CB3">
        <w:rPr>
          <w:sz w:val="22"/>
          <w:szCs w:val="22"/>
          <w:lang w:val="en-US"/>
        </w:rPr>
        <w:t xml:space="preserve">). </w:t>
      </w:r>
      <w:r w:rsidR="00F33F8C">
        <w:rPr>
          <w:sz w:val="22"/>
          <w:szCs w:val="22"/>
          <w:lang w:val="en-US"/>
        </w:rPr>
        <w:t xml:space="preserve">Avoid </w:t>
      </w:r>
      <w:r w:rsidR="00D54E99">
        <w:rPr>
          <w:sz w:val="22"/>
          <w:szCs w:val="22"/>
          <w:lang w:val="en-US"/>
        </w:rPr>
        <w:t>responding</w:t>
      </w:r>
      <w:r w:rsidR="00F33F8C">
        <w:rPr>
          <w:sz w:val="22"/>
          <w:szCs w:val="22"/>
          <w:lang w:val="en-US"/>
        </w:rPr>
        <w:t xml:space="preserve"> </w:t>
      </w:r>
      <w:proofErr w:type="gramStart"/>
      <w:r w:rsidR="00F33F8C">
        <w:rPr>
          <w:sz w:val="22"/>
          <w:szCs w:val="22"/>
          <w:lang w:val="en-US"/>
        </w:rPr>
        <w:t>n/</w:t>
      </w:r>
      <w:proofErr w:type="gramEnd"/>
      <w:r w:rsidR="00F33F8C">
        <w:rPr>
          <w:sz w:val="22"/>
          <w:szCs w:val="22"/>
          <w:lang w:val="en-US"/>
        </w:rPr>
        <w:t>a (not applicable)</w:t>
      </w:r>
      <w:r w:rsidR="003704F4">
        <w:rPr>
          <w:sz w:val="22"/>
          <w:szCs w:val="22"/>
          <w:lang w:val="en-US"/>
        </w:rPr>
        <w:t xml:space="preserve"> wherever possible.</w:t>
      </w:r>
      <w:r w:rsidR="00F33F8C">
        <w:rPr>
          <w:sz w:val="22"/>
          <w:szCs w:val="22"/>
          <w:lang w:val="en-US"/>
        </w:rPr>
        <w:t xml:space="preserve"> </w:t>
      </w:r>
      <w:r w:rsidR="00D734D8">
        <w:rPr>
          <w:sz w:val="22"/>
          <w:szCs w:val="22"/>
          <w:lang w:val="en-MY"/>
        </w:rPr>
        <w:t>C</w:t>
      </w:r>
      <w:r w:rsidR="00F33F8C" w:rsidRPr="00495926">
        <w:rPr>
          <w:sz w:val="22"/>
          <w:szCs w:val="22"/>
          <w:lang w:val="en-MY"/>
        </w:rPr>
        <w:t>ountries are expected to provide a score for most questions</w:t>
      </w:r>
      <w:r w:rsidR="00F33F8C">
        <w:rPr>
          <w:sz w:val="22"/>
          <w:szCs w:val="22"/>
          <w:lang w:val="en-MY"/>
        </w:rPr>
        <w:t xml:space="preserve"> except if n/a is the only appropriate response </w:t>
      </w:r>
      <w:r w:rsidR="00F33F8C" w:rsidRPr="00FC097D">
        <w:rPr>
          <w:sz w:val="22"/>
          <w:szCs w:val="22"/>
          <w:lang w:val="en-MY"/>
        </w:rPr>
        <w:t>(e.g. transboundary questions for island states, or sub-national level questions for very small countries)</w:t>
      </w:r>
      <w:r w:rsidR="00F33F8C" w:rsidRPr="00495926">
        <w:rPr>
          <w:sz w:val="22"/>
          <w:szCs w:val="22"/>
          <w:lang w:val="en-MY"/>
        </w:rPr>
        <w:t xml:space="preserve">. </w:t>
      </w:r>
      <w:r w:rsidR="004F541B">
        <w:rPr>
          <w:sz w:val="22"/>
          <w:szCs w:val="22"/>
          <w:lang w:val="en-MY"/>
        </w:rPr>
        <w:t>Otherwise, i</w:t>
      </w:r>
      <w:r w:rsidR="00F33F8C" w:rsidRPr="00495926">
        <w:rPr>
          <w:sz w:val="22"/>
          <w:szCs w:val="22"/>
          <w:lang w:val="en-MY"/>
        </w:rPr>
        <w:t>f the response was ‘n/a’ in 2023, reconsider if a score is more appropriate.</w:t>
      </w:r>
      <w:r w:rsidR="00A317AD">
        <w:rPr>
          <w:sz w:val="22"/>
          <w:szCs w:val="22"/>
          <w:lang w:val="en-MY"/>
        </w:rPr>
        <w:t xml:space="preserve"> </w:t>
      </w:r>
    </w:p>
    <w:tbl>
      <w:tblPr>
        <w:tblStyle w:val="TableGrid"/>
        <w:tblpPr w:leftFromText="141" w:rightFromText="141" w:vertAnchor="text" w:horzAnchor="margin" w:tblpY="151"/>
        <w:tblW w:w="5082" w:type="pct"/>
        <w:tblLayout w:type="fixed"/>
        <w:tblCellMar>
          <w:left w:w="28" w:type="dxa"/>
          <w:right w:w="28" w:type="dxa"/>
        </w:tblCellMar>
        <w:tblLook w:val="04A0" w:firstRow="1" w:lastRow="0" w:firstColumn="1" w:lastColumn="0" w:noHBand="0" w:noVBand="1"/>
      </w:tblPr>
      <w:tblGrid>
        <w:gridCol w:w="454"/>
        <w:gridCol w:w="460"/>
        <w:gridCol w:w="458"/>
        <w:gridCol w:w="462"/>
        <w:gridCol w:w="1135"/>
        <w:gridCol w:w="850"/>
        <w:gridCol w:w="1562"/>
        <w:gridCol w:w="1417"/>
        <w:gridCol w:w="1133"/>
        <w:gridCol w:w="1233"/>
      </w:tblGrid>
      <w:tr w:rsidR="00383491" w:rsidRPr="00780EB2" w14:paraId="6ED18AA3" w14:textId="77777777" w:rsidTr="00383491">
        <w:trPr>
          <w:trHeight w:val="57"/>
          <w:tblHeader/>
        </w:trPr>
        <w:tc>
          <w:tcPr>
            <w:tcW w:w="5000" w:type="pct"/>
            <w:gridSpan w:val="10"/>
            <w:shd w:val="clear" w:color="auto" w:fill="C5E0B3"/>
          </w:tcPr>
          <w:p w14:paraId="4ABA7970" w14:textId="77777777" w:rsidR="00383491" w:rsidRPr="00780EB2" w:rsidRDefault="00383491" w:rsidP="00383491">
            <w:pPr>
              <w:contextualSpacing/>
              <w:rPr>
                <w:rFonts w:cstheme="minorHAnsi"/>
                <w:sz w:val="20"/>
                <w:szCs w:val="20"/>
              </w:rPr>
            </w:pPr>
            <w:r w:rsidRPr="0023586E">
              <w:rPr>
                <w:b/>
                <w:bCs/>
                <w:sz w:val="20"/>
                <w:szCs w:val="20"/>
              </w:rPr>
              <w:t>1. ENABLING ENVIRONMENT </w:t>
            </w:r>
          </w:p>
        </w:tc>
      </w:tr>
      <w:tr w:rsidR="00383491" w:rsidRPr="00780EB2" w14:paraId="2EAD0BAD" w14:textId="77777777" w:rsidTr="00383491">
        <w:trPr>
          <w:trHeight w:val="57"/>
        </w:trPr>
        <w:tc>
          <w:tcPr>
            <w:tcW w:w="5000" w:type="pct"/>
            <w:gridSpan w:val="10"/>
            <w:shd w:val="clear" w:color="auto" w:fill="C5E0B3"/>
          </w:tcPr>
          <w:p w14:paraId="77C07DF5" w14:textId="77777777" w:rsidR="00383491" w:rsidRPr="00780EB2" w:rsidRDefault="00383491" w:rsidP="00383491">
            <w:pPr>
              <w:contextualSpacing/>
              <w:rPr>
                <w:rFonts w:cstheme="minorHAnsi"/>
                <w:sz w:val="20"/>
                <w:szCs w:val="20"/>
              </w:rPr>
            </w:pPr>
            <w:r w:rsidRPr="007C4908">
              <w:rPr>
                <w:b/>
                <w:bCs/>
                <w:sz w:val="20"/>
                <w:szCs w:val="20"/>
              </w:rPr>
              <w:t>1.1 What is the status of policies, laws and plans to support IWRM at the national level?</w:t>
            </w:r>
          </w:p>
        </w:tc>
      </w:tr>
      <w:tr w:rsidR="00383491" w:rsidRPr="00780EB2" w14:paraId="31277613" w14:textId="77777777" w:rsidTr="00383491">
        <w:trPr>
          <w:trHeight w:val="57"/>
          <w:tblHeader/>
        </w:trPr>
        <w:tc>
          <w:tcPr>
            <w:tcW w:w="1001" w:type="pct"/>
            <w:gridSpan w:val="4"/>
            <w:shd w:val="clear" w:color="auto" w:fill="D9E2F3"/>
            <w:tcMar>
              <w:left w:w="28" w:type="dxa"/>
              <w:right w:w="28" w:type="dxa"/>
            </w:tcMar>
          </w:tcPr>
          <w:p w14:paraId="3FA5C670" w14:textId="6815BF21" w:rsidR="00383491" w:rsidRPr="00780EB2" w:rsidRDefault="001B180A" w:rsidP="00383491">
            <w:pPr>
              <w:ind w:right="-79" w:hanging="109"/>
              <w:contextualSpacing/>
              <w:jc w:val="center"/>
              <w:rPr>
                <w:rFonts w:cstheme="minorHAnsi"/>
                <w:sz w:val="19"/>
                <w:szCs w:val="19"/>
              </w:rPr>
            </w:pPr>
            <w:r>
              <w:rPr>
                <w:rFonts w:cstheme="minorHAnsi"/>
                <w:b/>
                <w:bCs/>
                <w:noProof/>
                <w:sz w:val="20"/>
                <w:szCs w:val="20"/>
              </w:rPr>
              <mc:AlternateContent>
                <mc:Choice Requires="wps">
                  <w:drawing>
                    <wp:anchor distT="0" distB="0" distL="114300" distR="114300" simplePos="0" relativeHeight="251658242" behindDoc="0" locked="0" layoutInCell="1" allowOverlap="1" wp14:anchorId="76F0A238" wp14:editId="16A42F24">
                      <wp:simplePos x="0" y="0"/>
                      <wp:positionH relativeFrom="column">
                        <wp:posOffset>1131570</wp:posOffset>
                      </wp:positionH>
                      <wp:positionV relativeFrom="paragraph">
                        <wp:posOffset>15875</wp:posOffset>
                      </wp:positionV>
                      <wp:extent cx="4652433" cy="1214966"/>
                      <wp:effectExtent l="12700" t="12700" r="8890" b="17145"/>
                      <wp:wrapNone/>
                      <wp:docPr id="1878893355" name="Rectangle 2"/>
                      <wp:cNvGraphicFramePr/>
                      <a:graphic xmlns:a="http://schemas.openxmlformats.org/drawingml/2006/main">
                        <a:graphicData uri="http://schemas.microsoft.com/office/word/2010/wordprocessingShape">
                          <wps:wsp>
                            <wps:cNvSpPr/>
                            <wps:spPr>
                              <a:xfrm>
                                <a:off x="0" y="0"/>
                                <a:ext cx="4652433" cy="1214966"/>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BB9615">
                    <v:rect id="Rectangle 2" style="position:absolute;margin-left:89.1pt;margin-top:1.25pt;width:366.35pt;height:95.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626DA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"/>
                  </w:pict>
                </mc:Fallback>
              </mc:AlternateContent>
            </w:r>
            <w:r w:rsidR="00383491" w:rsidRPr="00780EB2">
              <w:rPr>
                <w:sz w:val="19"/>
                <w:szCs w:val="19"/>
              </w:rPr>
              <w:t>Degree of implementation 0-100</w:t>
            </w:r>
          </w:p>
        </w:tc>
        <w:tc>
          <w:tcPr>
            <w:tcW w:w="619" w:type="pct"/>
            <w:shd w:val="clear" w:color="auto" w:fill="D9E2F3"/>
            <w:tcMar>
              <w:left w:w="28" w:type="dxa"/>
              <w:right w:w="28" w:type="dxa"/>
            </w:tcMar>
          </w:tcPr>
          <w:p w14:paraId="55BA8151" w14:textId="77777777" w:rsidR="00383491" w:rsidRPr="00780EB2" w:rsidRDefault="00383491" w:rsidP="00383491">
            <w:pPr>
              <w:contextualSpacing/>
              <w:jc w:val="center"/>
              <w:rPr>
                <w:rFonts w:cstheme="minorHAnsi"/>
                <w:sz w:val="19"/>
                <w:szCs w:val="19"/>
              </w:rPr>
            </w:pPr>
            <w:r w:rsidRPr="00780EB2">
              <w:rPr>
                <w:sz w:val="19"/>
                <w:szCs w:val="19"/>
              </w:rPr>
              <w:t>Very low (0)</w:t>
            </w:r>
          </w:p>
        </w:tc>
        <w:tc>
          <w:tcPr>
            <w:tcW w:w="464" w:type="pct"/>
            <w:shd w:val="clear" w:color="auto" w:fill="D9E2F3"/>
            <w:tcMar>
              <w:left w:w="28" w:type="dxa"/>
              <w:right w:w="28" w:type="dxa"/>
            </w:tcMar>
          </w:tcPr>
          <w:p w14:paraId="6EFFD6F7" w14:textId="77777777" w:rsidR="00383491" w:rsidRPr="00780EB2" w:rsidRDefault="00383491" w:rsidP="00383491">
            <w:pPr>
              <w:contextualSpacing/>
              <w:jc w:val="center"/>
              <w:rPr>
                <w:rFonts w:cstheme="minorHAnsi"/>
                <w:sz w:val="19"/>
                <w:szCs w:val="19"/>
              </w:rPr>
            </w:pPr>
            <w:r w:rsidRPr="00780EB2">
              <w:rPr>
                <w:sz w:val="19"/>
                <w:szCs w:val="19"/>
              </w:rPr>
              <w:t>Low (20)</w:t>
            </w:r>
          </w:p>
        </w:tc>
        <w:tc>
          <w:tcPr>
            <w:tcW w:w="852" w:type="pct"/>
            <w:shd w:val="clear" w:color="auto" w:fill="D9E2F3"/>
            <w:tcMar>
              <w:left w:w="28" w:type="dxa"/>
              <w:right w:w="28" w:type="dxa"/>
            </w:tcMar>
          </w:tcPr>
          <w:p w14:paraId="67E6BA10" w14:textId="77777777" w:rsidR="00383491" w:rsidRPr="00780EB2" w:rsidRDefault="00383491" w:rsidP="00383491">
            <w:pPr>
              <w:contextualSpacing/>
              <w:jc w:val="center"/>
              <w:rPr>
                <w:rFonts w:cstheme="minorHAnsi"/>
                <w:sz w:val="19"/>
                <w:szCs w:val="19"/>
              </w:rPr>
            </w:pPr>
            <w:r w:rsidRPr="00780EB2">
              <w:rPr>
                <w:sz w:val="19"/>
                <w:szCs w:val="19"/>
              </w:rPr>
              <w:t>Medium-low (40)</w:t>
            </w:r>
          </w:p>
        </w:tc>
        <w:tc>
          <w:tcPr>
            <w:tcW w:w="773" w:type="pct"/>
            <w:shd w:val="clear" w:color="auto" w:fill="D9E2F3"/>
            <w:tcMar>
              <w:left w:w="28" w:type="dxa"/>
              <w:right w:w="28" w:type="dxa"/>
            </w:tcMar>
          </w:tcPr>
          <w:p w14:paraId="197CED14" w14:textId="77777777" w:rsidR="00383491" w:rsidRPr="00780EB2" w:rsidRDefault="00383491" w:rsidP="00383491">
            <w:pPr>
              <w:contextualSpacing/>
              <w:jc w:val="center"/>
              <w:rPr>
                <w:rFonts w:cstheme="minorHAnsi"/>
                <w:sz w:val="19"/>
                <w:szCs w:val="19"/>
              </w:rPr>
            </w:pPr>
            <w:r w:rsidRPr="00780EB2">
              <w:rPr>
                <w:sz w:val="19"/>
                <w:szCs w:val="19"/>
              </w:rPr>
              <w:t>Medium-high (60)</w:t>
            </w:r>
          </w:p>
        </w:tc>
        <w:tc>
          <w:tcPr>
            <w:tcW w:w="618" w:type="pct"/>
            <w:shd w:val="clear" w:color="auto" w:fill="D9E2F3"/>
            <w:tcMar>
              <w:left w:w="28" w:type="dxa"/>
              <w:right w:w="28" w:type="dxa"/>
            </w:tcMar>
          </w:tcPr>
          <w:p w14:paraId="689FD601" w14:textId="77777777" w:rsidR="00383491" w:rsidRPr="00780EB2" w:rsidRDefault="00383491" w:rsidP="00383491">
            <w:pPr>
              <w:contextualSpacing/>
              <w:jc w:val="center"/>
              <w:rPr>
                <w:rFonts w:cstheme="minorHAnsi"/>
                <w:sz w:val="19"/>
                <w:szCs w:val="19"/>
              </w:rPr>
            </w:pPr>
            <w:r w:rsidRPr="00780EB2">
              <w:rPr>
                <w:sz w:val="19"/>
                <w:szCs w:val="19"/>
              </w:rPr>
              <w:t>High (80)</w:t>
            </w:r>
          </w:p>
        </w:tc>
        <w:tc>
          <w:tcPr>
            <w:tcW w:w="673" w:type="pct"/>
            <w:shd w:val="clear" w:color="auto" w:fill="D9E2F3"/>
            <w:tcMar>
              <w:left w:w="28" w:type="dxa"/>
              <w:right w:w="28" w:type="dxa"/>
            </w:tcMar>
          </w:tcPr>
          <w:p w14:paraId="56E1D7FA" w14:textId="77777777" w:rsidR="00383491" w:rsidRPr="00780EB2" w:rsidRDefault="00383491" w:rsidP="00383491">
            <w:pPr>
              <w:contextualSpacing/>
              <w:jc w:val="center"/>
              <w:rPr>
                <w:rFonts w:cstheme="minorHAnsi"/>
                <w:sz w:val="19"/>
                <w:szCs w:val="19"/>
              </w:rPr>
            </w:pPr>
            <w:r w:rsidRPr="00780EB2">
              <w:rPr>
                <w:sz w:val="19"/>
                <w:szCs w:val="19"/>
              </w:rPr>
              <w:t>Very high (100)</w:t>
            </w:r>
          </w:p>
        </w:tc>
      </w:tr>
      <w:tr w:rsidR="00383491" w:rsidRPr="000D229A" w14:paraId="39DDD7AF" w14:textId="77777777" w:rsidTr="00383491">
        <w:trPr>
          <w:trHeight w:val="748"/>
        </w:trPr>
        <w:tc>
          <w:tcPr>
            <w:tcW w:w="1001" w:type="pct"/>
            <w:gridSpan w:val="4"/>
            <w:shd w:val="clear" w:color="auto" w:fill="C5E0B3"/>
            <w:tcMar>
              <w:left w:w="28" w:type="dxa"/>
              <w:right w:w="28" w:type="dxa"/>
            </w:tcMar>
          </w:tcPr>
          <w:p w14:paraId="51E99217" w14:textId="77777777" w:rsidR="00383491" w:rsidRPr="000D229A" w:rsidRDefault="00383491" w:rsidP="00383491">
            <w:pPr>
              <w:contextualSpacing/>
              <w:rPr>
                <w:rFonts w:cstheme="minorHAnsi"/>
                <w:sz w:val="20"/>
                <w:szCs w:val="20"/>
              </w:rPr>
            </w:pPr>
            <w:r>
              <w:rPr>
                <w:b/>
                <w:bCs/>
                <w:sz w:val="20"/>
                <w:szCs w:val="20"/>
              </w:rPr>
              <w:t xml:space="preserve">1.1 </w:t>
            </w:r>
            <w:r w:rsidRPr="0030111B">
              <w:rPr>
                <w:b/>
                <w:bCs/>
                <w:sz w:val="20"/>
                <w:szCs w:val="20"/>
              </w:rPr>
              <w:t>a.</w:t>
            </w:r>
            <w:r>
              <w:rPr>
                <w:bCs/>
                <w:sz w:val="20"/>
                <w:szCs w:val="20"/>
              </w:rPr>
              <w:t xml:space="preserve"> </w:t>
            </w:r>
            <w:r w:rsidRPr="007C4908">
              <w:rPr>
                <w:sz w:val="20"/>
                <w:szCs w:val="20"/>
              </w:rPr>
              <w:t>National water resources</w:t>
            </w:r>
            <w:r w:rsidRPr="007C4908">
              <w:rPr>
                <w:b/>
                <w:sz w:val="20"/>
                <w:szCs w:val="20"/>
              </w:rPr>
              <w:t xml:space="preserve"> policy,</w:t>
            </w:r>
            <w:r w:rsidRPr="007C4908">
              <w:rPr>
                <w:sz w:val="20"/>
                <w:szCs w:val="20"/>
              </w:rPr>
              <w:t xml:space="preserve"> or similar</w:t>
            </w:r>
            <w:r>
              <w:rPr>
                <w:sz w:val="20"/>
                <w:szCs w:val="20"/>
              </w:rPr>
              <w:t>.</w:t>
            </w:r>
          </w:p>
        </w:tc>
        <w:tc>
          <w:tcPr>
            <w:tcW w:w="619" w:type="pct"/>
            <w:vMerge w:val="restart"/>
            <w:tcMar>
              <w:left w:w="28" w:type="dxa"/>
              <w:right w:w="28" w:type="dxa"/>
            </w:tcMar>
          </w:tcPr>
          <w:p w14:paraId="0896585F" w14:textId="697FD4DB" w:rsidR="00383491" w:rsidRPr="000D229A" w:rsidRDefault="00383491" w:rsidP="00383491">
            <w:pPr>
              <w:contextualSpacing/>
              <w:rPr>
                <w:rFonts w:cstheme="minorHAnsi"/>
                <w:sz w:val="20"/>
                <w:szCs w:val="20"/>
              </w:rPr>
            </w:pPr>
            <w:r w:rsidRPr="007C4908">
              <w:rPr>
                <w:sz w:val="20"/>
                <w:szCs w:val="20"/>
              </w:rPr>
              <w:t xml:space="preserve">Development </w:t>
            </w:r>
            <w:r w:rsidRPr="007C4908">
              <w:rPr>
                <w:b/>
                <w:sz w:val="20"/>
                <w:szCs w:val="20"/>
              </w:rPr>
              <w:t xml:space="preserve">not started </w:t>
            </w:r>
            <w:r w:rsidRPr="00436B56">
              <w:rPr>
                <w:sz w:val="20"/>
                <w:szCs w:val="20"/>
              </w:rPr>
              <w:t>or not progressing.</w:t>
            </w:r>
          </w:p>
        </w:tc>
        <w:tc>
          <w:tcPr>
            <w:tcW w:w="464" w:type="pct"/>
            <w:vMerge w:val="restart"/>
            <w:tcMar>
              <w:left w:w="28" w:type="dxa"/>
              <w:right w:w="28" w:type="dxa"/>
            </w:tcMar>
          </w:tcPr>
          <w:p w14:paraId="0AC8EA17" w14:textId="77777777" w:rsidR="00383491" w:rsidRPr="000D229A" w:rsidRDefault="00383491" w:rsidP="00383491">
            <w:pPr>
              <w:contextualSpacing/>
              <w:rPr>
                <w:rFonts w:cstheme="minorHAnsi"/>
                <w:sz w:val="20"/>
                <w:szCs w:val="20"/>
              </w:rPr>
            </w:pPr>
            <w:r w:rsidRPr="000C45B0">
              <w:rPr>
                <w:b/>
                <w:sz w:val="20"/>
                <w:szCs w:val="20"/>
              </w:rPr>
              <w:t>Exists</w:t>
            </w:r>
            <w:r w:rsidRPr="00D6667E">
              <w:rPr>
                <w:sz w:val="20"/>
                <w:szCs w:val="20"/>
              </w:rPr>
              <w:t xml:space="preserve">, but </w:t>
            </w:r>
            <w:r w:rsidRPr="000C45B0">
              <w:rPr>
                <w:sz w:val="20"/>
                <w:szCs w:val="20"/>
              </w:rPr>
              <w:t>not based on IWRM.</w:t>
            </w:r>
          </w:p>
        </w:tc>
        <w:tc>
          <w:tcPr>
            <w:tcW w:w="852" w:type="pct"/>
            <w:vMerge w:val="restart"/>
            <w:tcMar>
              <w:left w:w="28" w:type="dxa"/>
              <w:right w:w="28" w:type="dxa"/>
            </w:tcMar>
          </w:tcPr>
          <w:p w14:paraId="58C922F6" w14:textId="77777777" w:rsidR="00383491" w:rsidRPr="000D229A" w:rsidRDefault="00383491" w:rsidP="00383491">
            <w:pPr>
              <w:contextualSpacing/>
              <w:rPr>
                <w:rFonts w:cstheme="minorHAnsi"/>
                <w:sz w:val="20"/>
                <w:szCs w:val="20"/>
              </w:rPr>
            </w:pPr>
            <w:r w:rsidRPr="000C45B0">
              <w:rPr>
                <w:sz w:val="20"/>
                <w:szCs w:val="20"/>
              </w:rPr>
              <w:t>Based on IWRM,</w:t>
            </w:r>
            <w:r>
              <w:rPr>
                <w:b/>
                <w:sz w:val="20"/>
                <w:szCs w:val="20"/>
              </w:rPr>
              <w:t xml:space="preserve"> a</w:t>
            </w:r>
            <w:r w:rsidRPr="007C4908">
              <w:rPr>
                <w:b/>
                <w:sz w:val="20"/>
                <w:szCs w:val="20"/>
              </w:rPr>
              <w:t>pproved</w:t>
            </w:r>
            <w:r w:rsidRPr="007C4908">
              <w:rPr>
                <w:sz w:val="20"/>
                <w:szCs w:val="20"/>
              </w:rPr>
              <w:t xml:space="preserve"> by </w:t>
            </w:r>
            <w:r>
              <w:rPr>
                <w:sz w:val="20"/>
                <w:szCs w:val="20"/>
              </w:rPr>
              <w:t>govt.</w:t>
            </w:r>
            <w:r w:rsidRPr="007C4908">
              <w:rPr>
                <w:sz w:val="20"/>
                <w:szCs w:val="20"/>
              </w:rPr>
              <w:t xml:space="preserve"> and </w:t>
            </w:r>
            <w:r w:rsidRPr="000C45B0">
              <w:rPr>
                <w:sz w:val="20"/>
                <w:szCs w:val="20"/>
              </w:rPr>
              <w:t>starting to be used</w:t>
            </w:r>
            <w:r w:rsidRPr="007C4908">
              <w:rPr>
                <w:sz w:val="20"/>
                <w:szCs w:val="20"/>
              </w:rPr>
              <w:t xml:space="preserve"> by authorities to guide work.</w:t>
            </w:r>
          </w:p>
        </w:tc>
        <w:tc>
          <w:tcPr>
            <w:tcW w:w="773" w:type="pct"/>
            <w:vMerge w:val="restart"/>
            <w:tcMar>
              <w:left w:w="28" w:type="dxa"/>
              <w:right w:w="28" w:type="dxa"/>
            </w:tcMar>
          </w:tcPr>
          <w:p w14:paraId="374F1075" w14:textId="77777777" w:rsidR="00383491" w:rsidRPr="000D229A" w:rsidRDefault="00383491" w:rsidP="00383491">
            <w:pPr>
              <w:contextualSpacing/>
              <w:rPr>
                <w:rFonts w:cstheme="minorHAnsi"/>
                <w:sz w:val="20"/>
                <w:szCs w:val="20"/>
              </w:rPr>
            </w:pPr>
            <w:r w:rsidRPr="000C45B0">
              <w:rPr>
                <w:sz w:val="20"/>
                <w:szCs w:val="20"/>
              </w:rPr>
              <w:t>Based on IWRM,</w:t>
            </w:r>
            <w:r>
              <w:rPr>
                <w:b/>
                <w:sz w:val="20"/>
                <w:szCs w:val="20"/>
              </w:rPr>
              <w:t xml:space="preserve"> </w:t>
            </w:r>
            <w:r>
              <w:rPr>
                <w:sz w:val="20"/>
                <w:szCs w:val="20"/>
              </w:rPr>
              <w:t>b</w:t>
            </w:r>
            <w:r w:rsidRPr="000C45B0">
              <w:rPr>
                <w:sz w:val="20"/>
                <w:szCs w:val="20"/>
              </w:rPr>
              <w:t>eing</w:t>
            </w:r>
            <w:r w:rsidRPr="007C4908">
              <w:rPr>
                <w:b/>
                <w:sz w:val="20"/>
                <w:szCs w:val="20"/>
              </w:rPr>
              <w:t xml:space="preserve"> used</w:t>
            </w:r>
            <w:r w:rsidRPr="007C4908">
              <w:rPr>
                <w:sz w:val="20"/>
                <w:szCs w:val="20"/>
              </w:rPr>
              <w:t xml:space="preserve"> </w:t>
            </w:r>
            <w:r w:rsidRPr="000C45B0">
              <w:rPr>
                <w:sz w:val="20"/>
                <w:szCs w:val="20"/>
              </w:rPr>
              <w:t xml:space="preserve">by </w:t>
            </w:r>
            <w:proofErr w:type="gramStart"/>
            <w:r w:rsidRPr="000C45B0">
              <w:rPr>
                <w:sz w:val="20"/>
                <w:szCs w:val="20"/>
              </w:rPr>
              <w:t>the majority</w:t>
            </w:r>
            <w:r w:rsidRPr="007C4908">
              <w:rPr>
                <w:sz w:val="20"/>
                <w:szCs w:val="20"/>
              </w:rPr>
              <w:t xml:space="preserve"> of</w:t>
            </w:r>
            <w:proofErr w:type="gramEnd"/>
            <w:r w:rsidRPr="007C4908">
              <w:rPr>
                <w:sz w:val="20"/>
                <w:szCs w:val="20"/>
              </w:rPr>
              <w:t xml:space="preserve"> relevant authorities to guide work. </w:t>
            </w:r>
          </w:p>
        </w:tc>
        <w:tc>
          <w:tcPr>
            <w:tcW w:w="618" w:type="pct"/>
            <w:vMerge w:val="restart"/>
            <w:tcMar>
              <w:left w:w="28" w:type="dxa"/>
              <w:right w:w="28" w:type="dxa"/>
            </w:tcMar>
          </w:tcPr>
          <w:p w14:paraId="6F373137" w14:textId="77777777" w:rsidR="00383491" w:rsidRPr="000D229A" w:rsidRDefault="00383491" w:rsidP="00383491">
            <w:pPr>
              <w:contextualSpacing/>
              <w:rPr>
                <w:rFonts w:cstheme="minorHAnsi"/>
                <w:sz w:val="20"/>
                <w:szCs w:val="20"/>
              </w:rPr>
            </w:pPr>
            <w:r w:rsidRPr="007C4908">
              <w:rPr>
                <w:sz w:val="20"/>
                <w:szCs w:val="20"/>
              </w:rPr>
              <w:t xml:space="preserve">Policy </w:t>
            </w:r>
            <w:r w:rsidRPr="000C45B0">
              <w:rPr>
                <w:sz w:val="20"/>
                <w:szCs w:val="20"/>
              </w:rPr>
              <w:t>objectives consistently</w:t>
            </w:r>
            <w:r w:rsidRPr="007C4908">
              <w:rPr>
                <w:sz w:val="20"/>
                <w:szCs w:val="20"/>
              </w:rPr>
              <w:t xml:space="preserve"> </w:t>
            </w:r>
            <w:r w:rsidRPr="007C4908">
              <w:rPr>
                <w:b/>
                <w:sz w:val="20"/>
                <w:szCs w:val="20"/>
              </w:rPr>
              <w:t>achieved.</w:t>
            </w:r>
          </w:p>
        </w:tc>
        <w:tc>
          <w:tcPr>
            <w:tcW w:w="673" w:type="pct"/>
            <w:vMerge w:val="restart"/>
            <w:tcMar>
              <w:left w:w="28" w:type="dxa"/>
              <w:right w:w="28" w:type="dxa"/>
            </w:tcMar>
          </w:tcPr>
          <w:p w14:paraId="33680D95" w14:textId="77777777" w:rsidR="00383491" w:rsidRPr="000D229A" w:rsidRDefault="00383491" w:rsidP="00383491">
            <w:pPr>
              <w:contextualSpacing/>
              <w:rPr>
                <w:rFonts w:cstheme="minorHAnsi"/>
                <w:sz w:val="20"/>
                <w:szCs w:val="20"/>
              </w:rPr>
            </w:pPr>
            <w:r w:rsidRPr="007C4908">
              <w:rPr>
                <w:sz w:val="20"/>
                <w:szCs w:val="20"/>
              </w:rPr>
              <w:t xml:space="preserve">Objectives consistently </w:t>
            </w:r>
            <w:proofErr w:type="gramStart"/>
            <w:r w:rsidRPr="007C4908">
              <w:rPr>
                <w:sz w:val="20"/>
                <w:szCs w:val="20"/>
              </w:rPr>
              <w:t xml:space="preserve">achieved, </w:t>
            </w:r>
            <w:r w:rsidRPr="000C45B0">
              <w:rPr>
                <w:sz w:val="20"/>
                <w:szCs w:val="20"/>
              </w:rPr>
              <w:t>and</w:t>
            </w:r>
            <w:proofErr w:type="gramEnd"/>
            <w:r w:rsidRPr="000C45B0">
              <w:rPr>
                <w:sz w:val="20"/>
                <w:szCs w:val="20"/>
              </w:rPr>
              <w:t xml:space="preserve"> periodically </w:t>
            </w:r>
            <w:r w:rsidRPr="007D18C7">
              <w:rPr>
                <w:b/>
                <w:sz w:val="20"/>
                <w:szCs w:val="20"/>
              </w:rPr>
              <w:t>reviewed</w:t>
            </w:r>
            <w:r w:rsidRPr="00436B56">
              <w:rPr>
                <w:b/>
                <w:sz w:val="20"/>
                <w:szCs w:val="20"/>
              </w:rPr>
              <w:t xml:space="preserve"> </w:t>
            </w:r>
            <w:r w:rsidRPr="000069CB">
              <w:rPr>
                <w:sz w:val="20"/>
                <w:szCs w:val="20"/>
              </w:rPr>
              <w:t>and revised.</w:t>
            </w:r>
            <w:r w:rsidRPr="007C4908">
              <w:rPr>
                <w:sz w:val="20"/>
                <w:szCs w:val="20"/>
              </w:rPr>
              <w:t xml:space="preserve"> </w:t>
            </w:r>
          </w:p>
        </w:tc>
      </w:tr>
      <w:tr w:rsidR="00383491" w:rsidRPr="00780EB2" w14:paraId="77AB27A2" w14:textId="77777777" w:rsidTr="00383491">
        <w:trPr>
          <w:trHeight w:val="57"/>
        </w:trPr>
        <w:tc>
          <w:tcPr>
            <w:tcW w:w="1001" w:type="pct"/>
            <w:gridSpan w:val="4"/>
            <w:shd w:val="clear" w:color="auto" w:fill="C5E0B3"/>
          </w:tcPr>
          <w:p w14:paraId="0EA82427" w14:textId="77777777" w:rsidR="00383491" w:rsidRPr="00780EB2" w:rsidRDefault="00383491" w:rsidP="00383491">
            <w:pPr>
              <w:contextualSpacing/>
              <w:jc w:val="center"/>
              <w:rPr>
                <w:rFonts w:cstheme="minorHAnsi"/>
                <w:b/>
                <w:bCs/>
                <w:sz w:val="20"/>
                <w:szCs w:val="20"/>
              </w:rPr>
            </w:pPr>
            <w:r w:rsidRPr="00780EB2">
              <w:rPr>
                <w:rFonts w:cstheme="minorHAnsi"/>
                <w:b/>
                <w:bCs/>
                <w:sz w:val="20"/>
                <w:szCs w:val="20"/>
              </w:rPr>
              <w:t>Score</w:t>
            </w:r>
          </w:p>
        </w:tc>
        <w:tc>
          <w:tcPr>
            <w:tcW w:w="619" w:type="pct"/>
            <w:vMerge/>
          </w:tcPr>
          <w:p w14:paraId="637F9BE5" w14:textId="77777777" w:rsidR="00383491" w:rsidRPr="00780EB2" w:rsidRDefault="00383491" w:rsidP="00383491">
            <w:pPr>
              <w:contextualSpacing/>
              <w:rPr>
                <w:rFonts w:cstheme="minorHAnsi"/>
                <w:sz w:val="20"/>
                <w:szCs w:val="20"/>
              </w:rPr>
            </w:pPr>
          </w:p>
        </w:tc>
        <w:tc>
          <w:tcPr>
            <w:tcW w:w="464" w:type="pct"/>
            <w:vMerge/>
          </w:tcPr>
          <w:p w14:paraId="318C9515" w14:textId="77777777" w:rsidR="00383491" w:rsidRPr="00780EB2" w:rsidRDefault="00383491" w:rsidP="00383491">
            <w:pPr>
              <w:contextualSpacing/>
              <w:rPr>
                <w:rFonts w:cstheme="minorHAnsi"/>
                <w:sz w:val="20"/>
                <w:szCs w:val="20"/>
              </w:rPr>
            </w:pPr>
          </w:p>
        </w:tc>
        <w:tc>
          <w:tcPr>
            <w:tcW w:w="852" w:type="pct"/>
            <w:vMerge/>
          </w:tcPr>
          <w:p w14:paraId="794007E3" w14:textId="77777777" w:rsidR="00383491" w:rsidRPr="00780EB2" w:rsidRDefault="00383491" w:rsidP="00383491">
            <w:pPr>
              <w:contextualSpacing/>
              <w:rPr>
                <w:rFonts w:cstheme="minorHAnsi"/>
                <w:sz w:val="20"/>
                <w:szCs w:val="20"/>
              </w:rPr>
            </w:pPr>
          </w:p>
        </w:tc>
        <w:tc>
          <w:tcPr>
            <w:tcW w:w="773" w:type="pct"/>
            <w:vMerge/>
          </w:tcPr>
          <w:p w14:paraId="287B97B0" w14:textId="77777777" w:rsidR="00383491" w:rsidRPr="00780EB2" w:rsidRDefault="00383491" w:rsidP="00383491">
            <w:pPr>
              <w:contextualSpacing/>
              <w:rPr>
                <w:rFonts w:cstheme="minorHAnsi"/>
                <w:sz w:val="20"/>
                <w:szCs w:val="20"/>
              </w:rPr>
            </w:pPr>
          </w:p>
        </w:tc>
        <w:tc>
          <w:tcPr>
            <w:tcW w:w="618" w:type="pct"/>
            <w:vMerge/>
          </w:tcPr>
          <w:p w14:paraId="2876F6F5" w14:textId="77777777" w:rsidR="00383491" w:rsidRPr="00780EB2" w:rsidRDefault="00383491" w:rsidP="00383491">
            <w:pPr>
              <w:contextualSpacing/>
              <w:rPr>
                <w:rFonts w:cstheme="minorHAnsi"/>
                <w:sz w:val="20"/>
                <w:szCs w:val="20"/>
              </w:rPr>
            </w:pPr>
          </w:p>
        </w:tc>
        <w:tc>
          <w:tcPr>
            <w:tcW w:w="673" w:type="pct"/>
            <w:vMerge/>
          </w:tcPr>
          <w:p w14:paraId="76ECDB6F" w14:textId="77777777" w:rsidR="00383491" w:rsidRPr="00780EB2" w:rsidRDefault="00383491" w:rsidP="00383491">
            <w:pPr>
              <w:contextualSpacing/>
              <w:rPr>
                <w:rFonts w:cstheme="minorHAnsi"/>
                <w:sz w:val="20"/>
                <w:szCs w:val="20"/>
              </w:rPr>
            </w:pPr>
          </w:p>
        </w:tc>
      </w:tr>
      <w:tr w:rsidR="00383491" w:rsidRPr="00780EB2" w14:paraId="07D8AE44" w14:textId="77777777" w:rsidTr="00383491">
        <w:trPr>
          <w:trHeight w:val="57"/>
        </w:trPr>
        <w:tc>
          <w:tcPr>
            <w:tcW w:w="248" w:type="pct"/>
            <w:shd w:val="clear" w:color="auto" w:fill="C5E0B3"/>
            <w:tcMar>
              <w:left w:w="28" w:type="dxa"/>
              <w:right w:w="28" w:type="dxa"/>
            </w:tcMar>
          </w:tcPr>
          <w:p w14:paraId="7C1C6ADB" w14:textId="77777777" w:rsidR="00383491" w:rsidRPr="008B46BE" w:rsidRDefault="00383491" w:rsidP="00383491">
            <w:pPr>
              <w:contextualSpacing/>
              <w:jc w:val="center"/>
              <w:rPr>
                <w:rFonts w:cstheme="minorHAnsi"/>
                <w:sz w:val="18"/>
                <w:szCs w:val="18"/>
              </w:rPr>
            </w:pPr>
            <w:r w:rsidRPr="008B46BE">
              <w:rPr>
                <w:rFonts w:cstheme="minorHAnsi"/>
                <w:sz w:val="18"/>
                <w:szCs w:val="18"/>
              </w:rPr>
              <w:t>2017</w:t>
            </w:r>
          </w:p>
        </w:tc>
        <w:tc>
          <w:tcPr>
            <w:tcW w:w="251" w:type="pct"/>
            <w:shd w:val="clear" w:color="auto" w:fill="C5E0B3"/>
            <w:tcMar>
              <w:left w:w="28" w:type="dxa"/>
              <w:right w:w="28" w:type="dxa"/>
            </w:tcMar>
          </w:tcPr>
          <w:p w14:paraId="693C613F" w14:textId="77777777" w:rsidR="00383491" w:rsidRPr="008B46BE" w:rsidRDefault="00383491" w:rsidP="00383491">
            <w:pPr>
              <w:contextualSpacing/>
              <w:jc w:val="center"/>
              <w:rPr>
                <w:rFonts w:cstheme="minorHAnsi"/>
                <w:sz w:val="18"/>
                <w:szCs w:val="18"/>
              </w:rPr>
            </w:pPr>
            <w:r w:rsidRPr="008B46BE">
              <w:rPr>
                <w:rFonts w:cstheme="minorHAnsi"/>
                <w:sz w:val="18"/>
                <w:szCs w:val="18"/>
              </w:rPr>
              <w:t>2020</w:t>
            </w:r>
          </w:p>
        </w:tc>
        <w:tc>
          <w:tcPr>
            <w:tcW w:w="250" w:type="pct"/>
            <w:shd w:val="clear" w:color="auto" w:fill="C5E0B3"/>
            <w:tcMar>
              <w:left w:w="28" w:type="dxa"/>
              <w:right w:w="28" w:type="dxa"/>
            </w:tcMar>
          </w:tcPr>
          <w:p w14:paraId="4C6B9A4F" w14:textId="77777777" w:rsidR="00383491" w:rsidRPr="008B46BE" w:rsidRDefault="00383491" w:rsidP="00383491">
            <w:pPr>
              <w:contextualSpacing/>
              <w:jc w:val="center"/>
              <w:rPr>
                <w:rFonts w:cstheme="minorHAnsi"/>
                <w:sz w:val="18"/>
                <w:szCs w:val="18"/>
              </w:rPr>
            </w:pPr>
            <w:r w:rsidRPr="008B46BE">
              <w:rPr>
                <w:rFonts w:cstheme="minorHAnsi"/>
                <w:sz w:val="18"/>
                <w:szCs w:val="18"/>
              </w:rPr>
              <w:t>2023</w:t>
            </w:r>
          </w:p>
        </w:tc>
        <w:tc>
          <w:tcPr>
            <w:tcW w:w="252" w:type="pct"/>
            <w:shd w:val="clear" w:color="auto" w:fill="C5E0B3"/>
            <w:tcMar>
              <w:left w:w="28" w:type="dxa"/>
              <w:right w:w="28" w:type="dxa"/>
            </w:tcMar>
          </w:tcPr>
          <w:p w14:paraId="570B9C2B" w14:textId="77777777" w:rsidR="00383491" w:rsidRPr="008B46BE" w:rsidRDefault="00383491" w:rsidP="00383491">
            <w:pPr>
              <w:contextualSpacing/>
              <w:jc w:val="center"/>
              <w:rPr>
                <w:rFonts w:cstheme="minorHAnsi"/>
                <w:sz w:val="18"/>
                <w:szCs w:val="18"/>
              </w:rPr>
            </w:pPr>
            <w:r w:rsidRPr="008B46BE">
              <w:rPr>
                <w:rFonts w:cstheme="minorHAnsi"/>
                <w:sz w:val="18"/>
                <w:szCs w:val="18"/>
              </w:rPr>
              <w:t>2026</w:t>
            </w:r>
          </w:p>
        </w:tc>
        <w:tc>
          <w:tcPr>
            <w:tcW w:w="619" w:type="pct"/>
            <w:vMerge/>
          </w:tcPr>
          <w:p w14:paraId="737304CB" w14:textId="77777777" w:rsidR="00383491" w:rsidRPr="00780EB2" w:rsidRDefault="00383491" w:rsidP="00383491">
            <w:pPr>
              <w:contextualSpacing/>
              <w:rPr>
                <w:rFonts w:cstheme="minorHAnsi"/>
                <w:sz w:val="20"/>
                <w:szCs w:val="20"/>
              </w:rPr>
            </w:pPr>
          </w:p>
        </w:tc>
        <w:tc>
          <w:tcPr>
            <w:tcW w:w="464" w:type="pct"/>
            <w:vMerge/>
          </w:tcPr>
          <w:p w14:paraId="1E8BE485" w14:textId="77777777" w:rsidR="00383491" w:rsidRPr="00780EB2" w:rsidRDefault="00383491" w:rsidP="00383491">
            <w:pPr>
              <w:contextualSpacing/>
              <w:rPr>
                <w:rFonts w:cstheme="minorHAnsi"/>
                <w:sz w:val="20"/>
                <w:szCs w:val="20"/>
              </w:rPr>
            </w:pPr>
          </w:p>
        </w:tc>
        <w:tc>
          <w:tcPr>
            <w:tcW w:w="852" w:type="pct"/>
            <w:vMerge/>
          </w:tcPr>
          <w:p w14:paraId="77CA970F" w14:textId="77777777" w:rsidR="00383491" w:rsidRPr="00780EB2" w:rsidRDefault="00383491" w:rsidP="00383491">
            <w:pPr>
              <w:contextualSpacing/>
              <w:rPr>
                <w:rFonts w:cstheme="minorHAnsi"/>
                <w:sz w:val="20"/>
                <w:szCs w:val="20"/>
              </w:rPr>
            </w:pPr>
          </w:p>
        </w:tc>
        <w:tc>
          <w:tcPr>
            <w:tcW w:w="773" w:type="pct"/>
            <w:vMerge/>
          </w:tcPr>
          <w:p w14:paraId="32120500" w14:textId="77777777" w:rsidR="00383491" w:rsidRPr="00780EB2" w:rsidRDefault="00383491" w:rsidP="00383491">
            <w:pPr>
              <w:contextualSpacing/>
              <w:rPr>
                <w:rFonts w:cstheme="minorHAnsi"/>
                <w:sz w:val="20"/>
                <w:szCs w:val="20"/>
              </w:rPr>
            </w:pPr>
          </w:p>
        </w:tc>
        <w:tc>
          <w:tcPr>
            <w:tcW w:w="618" w:type="pct"/>
            <w:vMerge/>
          </w:tcPr>
          <w:p w14:paraId="78568FB6" w14:textId="77777777" w:rsidR="00383491" w:rsidRPr="00780EB2" w:rsidRDefault="00383491" w:rsidP="00383491">
            <w:pPr>
              <w:contextualSpacing/>
              <w:rPr>
                <w:rFonts w:cstheme="minorHAnsi"/>
                <w:sz w:val="20"/>
                <w:szCs w:val="20"/>
              </w:rPr>
            </w:pPr>
          </w:p>
        </w:tc>
        <w:tc>
          <w:tcPr>
            <w:tcW w:w="673" w:type="pct"/>
            <w:vMerge/>
          </w:tcPr>
          <w:p w14:paraId="2BD43A98" w14:textId="77777777" w:rsidR="00383491" w:rsidRPr="00780EB2" w:rsidRDefault="00383491" w:rsidP="00383491">
            <w:pPr>
              <w:contextualSpacing/>
              <w:rPr>
                <w:rFonts w:cstheme="minorHAnsi"/>
                <w:sz w:val="20"/>
                <w:szCs w:val="20"/>
              </w:rPr>
            </w:pPr>
          </w:p>
        </w:tc>
      </w:tr>
      <w:tr w:rsidR="00383491" w:rsidRPr="00780EB2" w14:paraId="6EEF8D36" w14:textId="77777777" w:rsidTr="00383491">
        <w:trPr>
          <w:trHeight w:val="57"/>
        </w:trPr>
        <w:tc>
          <w:tcPr>
            <w:tcW w:w="248" w:type="pct"/>
            <w:tcBorders>
              <w:bottom w:val="single" w:sz="4" w:space="0" w:color="auto"/>
            </w:tcBorders>
            <w:shd w:val="clear" w:color="auto" w:fill="C5E0B3"/>
          </w:tcPr>
          <w:p w14:paraId="1EA22066" w14:textId="77777777" w:rsidR="00383491" w:rsidRPr="00780EB2" w:rsidRDefault="00383491" w:rsidP="00383491">
            <w:pPr>
              <w:contextualSpacing/>
              <w:jc w:val="center"/>
              <w:rPr>
                <w:rFonts w:cstheme="minorHAnsi"/>
                <w:sz w:val="20"/>
                <w:szCs w:val="20"/>
              </w:rPr>
            </w:pPr>
          </w:p>
        </w:tc>
        <w:tc>
          <w:tcPr>
            <w:tcW w:w="251" w:type="pct"/>
            <w:tcBorders>
              <w:bottom w:val="single" w:sz="4" w:space="0" w:color="auto"/>
            </w:tcBorders>
            <w:shd w:val="clear" w:color="auto" w:fill="C5E0B3"/>
          </w:tcPr>
          <w:p w14:paraId="4CC1BDA6" w14:textId="77777777" w:rsidR="00383491" w:rsidRPr="00780EB2" w:rsidRDefault="00383491" w:rsidP="00383491">
            <w:pPr>
              <w:contextualSpacing/>
              <w:jc w:val="center"/>
              <w:rPr>
                <w:rFonts w:cstheme="minorHAnsi"/>
                <w:sz w:val="20"/>
                <w:szCs w:val="20"/>
              </w:rPr>
            </w:pPr>
          </w:p>
        </w:tc>
        <w:tc>
          <w:tcPr>
            <w:tcW w:w="250" w:type="pct"/>
            <w:tcBorders>
              <w:bottom w:val="single" w:sz="4" w:space="0" w:color="auto"/>
            </w:tcBorders>
            <w:shd w:val="clear" w:color="auto" w:fill="C5E0B3"/>
          </w:tcPr>
          <w:p w14:paraId="3F9565EB" w14:textId="77777777" w:rsidR="00383491" w:rsidRPr="00780EB2" w:rsidRDefault="00383491" w:rsidP="00383491">
            <w:pPr>
              <w:contextualSpacing/>
              <w:jc w:val="center"/>
              <w:rPr>
                <w:rFonts w:cstheme="minorHAnsi"/>
                <w:sz w:val="20"/>
                <w:szCs w:val="20"/>
              </w:rPr>
            </w:pPr>
          </w:p>
        </w:tc>
        <w:tc>
          <w:tcPr>
            <w:tcW w:w="252" w:type="pct"/>
            <w:tcBorders>
              <w:bottom w:val="single" w:sz="4" w:space="0" w:color="auto"/>
            </w:tcBorders>
            <w:shd w:val="clear" w:color="auto" w:fill="FFFF00"/>
          </w:tcPr>
          <w:p w14:paraId="6173AF54" w14:textId="77777777" w:rsidR="00383491" w:rsidRPr="00780EB2" w:rsidRDefault="00383491" w:rsidP="00383491">
            <w:pPr>
              <w:contextualSpacing/>
              <w:jc w:val="center"/>
              <w:rPr>
                <w:rFonts w:cstheme="minorHAnsi"/>
                <w:sz w:val="20"/>
                <w:szCs w:val="20"/>
              </w:rPr>
            </w:pPr>
          </w:p>
        </w:tc>
        <w:tc>
          <w:tcPr>
            <w:tcW w:w="619" w:type="pct"/>
            <w:vMerge/>
            <w:tcBorders>
              <w:bottom w:val="single" w:sz="4" w:space="0" w:color="auto"/>
            </w:tcBorders>
          </w:tcPr>
          <w:p w14:paraId="2E1A03E1" w14:textId="77777777" w:rsidR="00383491" w:rsidRPr="00780EB2" w:rsidRDefault="00383491" w:rsidP="00383491">
            <w:pPr>
              <w:contextualSpacing/>
              <w:rPr>
                <w:rFonts w:cstheme="minorHAnsi"/>
                <w:sz w:val="20"/>
                <w:szCs w:val="20"/>
              </w:rPr>
            </w:pPr>
          </w:p>
        </w:tc>
        <w:tc>
          <w:tcPr>
            <w:tcW w:w="464" w:type="pct"/>
            <w:vMerge/>
            <w:tcBorders>
              <w:bottom w:val="single" w:sz="4" w:space="0" w:color="auto"/>
            </w:tcBorders>
          </w:tcPr>
          <w:p w14:paraId="3713AAD3" w14:textId="77777777" w:rsidR="00383491" w:rsidRPr="00780EB2" w:rsidRDefault="00383491" w:rsidP="00383491">
            <w:pPr>
              <w:contextualSpacing/>
              <w:rPr>
                <w:rFonts w:cstheme="minorHAnsi"/>
                <w:sz w:val="20"/>
                <w:szCs w:val="20"/>
              </w:rPr>
            </w:pPr>
          </w:p>
        </w:tc>
        <w:tc>
          <w:tcPr>
            <w:tcW w:w="852" w:type="pct"/>
            <w:vMerge/>
            <w:tcBorders>
              <w:bottom w:val="single" w:sz="4" w:space="0" w:color="auto"/>
            </w:tcBorders>
          </w:tcPr>
          <w:p w14:paraId="088D4390" w14:textId="77777777" w:rsidR="00383491" w:rsidRPr="00780EB2" w:rsidRDefault="00383491" w:rsidP="00383491">
            <w:pPr>
              <w:contextualSpacing/>
              <w:rPr>
                <w:rFonts w:cstheme="minorHAnsi"/>
                <w:sz w:val="20"/>
                <w:szCs w:val="20"/>
              </w:rPr>
            </w:pPr>
          </w:p>
        </w:tc>
        <w:tc>
          <w:tcPr>
            <w:tcW w:w="773" w:type="pct"/>
            <w:vMerge/>
            <w:tcBorders>
              <w:bottom w:val="single" w:sz="4" w:space="0" w:color="auto"/>
            </w:tcBorders>
          </w:tcPr>
          <w:p w14:paraId="2E6595CC" w14:textId="77777777" w:rsidR="00383491" w:rsidRPr="00780EB2" w:rsidRDefault="00383491" w:rsidP="00383491">
            <w:pPr>
              <w:contextualSpacing/>
              <w:rPr>
                <w:rFonts w:cstheme="minorHAnsi"/>
                <w:sz w:val="20"/>
                <w:szCs w:val="20"/>
              </w:rPr>
            </w:pPr>
          </w:p>
        </w:tc>
        <w:tc>
          <w:tcPr>
            <w:tcW w:w="618" w:type="pct"/>
            <w:vMerge/>
            <w:tcBorders>
              <w:bottom w:val="single" w:sz="4" w:space="0" w:color="auto"/>
            </w:tcBorders>
          </w:tcPr>
          <w:p w14:paraId="0A308C94" w14:textId="77777777" w:rsidR="00383491" w:rsidRPr="00780EB2" w:rsidRDefault="00383491" w:rsidP="00383491">
            <w:pPr>
              <w:contextualSpacing/>
              <w:rPr>
                <w:rFonts w:cstheme="minorHAnsi"/>
                <w:sz w:val="20"/>
                <w:szCs w:val="20"/>
              </w:rPr>
            </w:pPr>
          </w:p>
        </w:tc>
        <w:tc>
          <w:tcPr>
            <w:tcW w:w="673" w:type="pct"/>
            <w:vMerge/>
            <w:tcBorders>
              <w:bottom w:val="single" w:sz="4" w:space="0" w:color="auto"/>
            </w:tcBorders>
          </w:tcPr>
          <w:p w14:paraId="038DB89A" w14:textId="77777777" w:rsidR="00383491" w:rsidRPr="00780EB2" w:rsidRDefault="00383491" w:rsidP="00383491">
            <w:pPr>
              <w:contextualSpacing/>
              <w:rPr>
                <w:rFonts w:cstheme="minorHAnsi"/>
                <w:sz w:val="20"/>
                <w:szCs w:val="20"/>
              </w:rPr>
            </w:pPr>
          </w:p>
        </w:tc>
      </w:tr>
      <w:tr w:rsidR="00383491" w:rsidRPr="00780EB2" w14:paraId="3968F151" w14:textId="77777777" w:rsidTr="00383491">
        <w:trPr>
          <w:trHeight w:val="57"/>
        </w:trPr>
        <w:tc>
          <w:tcPr>
            <w:tcW w:w="5000" w:type="pct"/>
            <w:gridSpan w:val="10"/>
            <w:tcBorders>
              <w:top w:val="single" w:sz="4" w:space="0" w:color="auto"/>
              <w:left w:val="single" w:sz="4" w:space="0" w:color="auto"/>
              <w:bottom w:val="single" w:sz="4" w:space="0" w:color="auto"/>
              <w:right w:val="single" w:sz="4" w:space="0" w:color="auto"/>
            </w:tcBorders>
          </w:tcPr>
          <w:p w14:paraId="77094354" w14:textId="77777777" w:rsidR="00383491" w:rsidRPr="009B2CF5" w:rsidRDefault="00383491" w:rsidP="00383491">
            <w:pPr>
              <w:contextualSpacing/>
              <w:rPr>
                <w:b/>
                <w:sz w:val="20"/>
                <w:szCs w:val="20"/>
              </w:rPr>
            </w:pPr>
            <w:r w:rsidRPr="00FB55A6">
              <w:rPr>
                <w:i/>
                <w:iCs/>
                <w:noProof/>
                <w:color w:val="44546A" w:themeColor="text2"/>
                <w:sz w:val="21"/>
                <w:szCs w:val="21"/>
              </w:rPr>
              <mc:AlternateContent>
                <mc:Choice Requires="wps">
                  <w:drawing>
                    <wp:anchor distT="0" distB="0" distL="114300" distR="114300" simplePos="0" relativeHeight="251658243" behindDoc="0" locked="0" layoutInCell="1" allowOverlap="1" wp14:anchorId="0393BD4A" wp14:editId="3A0A3B53">
                      <wp:simplePos x="0" y="0"/>
                      <wp:positionH relativeFrom="margin">
                        <wp:posOffset>-20955</wp:posOffset>
                      </wp:positionH>
                      <wp:positionV relativeFrom="paragraph">
                        <wp:posOffset>13970</wp:posOffset>
                      </wp:positionV>
                      <wp:extent cx="5806440" cy="1069200"/>
                      <wp:effectExtent l="19050" t="19050" r="22860" b="17145"/>
                      <wp:wrapNone/>
                      <wp:docPr id="1168512667" name="Rectangle 3"/>
                      <wp:cNvGraphicFramePr/>
                      <a:graphic xmlns:a="http://schemas.openxmlformats.org/drawingml/2006/main">
                        <a:graphicData uri="http://schemas.microsoft.com/office/word/2010/wordprocessingShape">
                          <wps:wsp>
                            <wps:cNvSpPr/>
                            <wps:spPr>
                              <a:xfrm>
                                <a:off x="0" y="0"/>
                                <a:ext cx="5806440" cy="1069200"/>
                              </a:xfrm>
                              <a:prstGeom prst="rect">
                                <a:avLst/>
                              </a:prstGeom>
                              <a:noFill/>
                              <a:ln w="28575">
                                <a:solidFill>
                                  <a:srgbClr val="FF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3810BD">
                    <v:rect id="Rectangle 3" style="position:absolute;margin-left:-1.65pt;margin-top:1.1pt;width:457.2pt;height:84.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ff9300" strokeweight="2.25pt" w14:anchorId="0362B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">
                      <w10:wrap anchorx="margin"/>
                    </v:rect>
                  </w:pict>
                </mc:Fallback>
              </mc:AlternateContent>
            </w:r>
            <w:r w:rsidRPr="00E53832">
              <w:rPr>
                <w:b/>
                <w:bCs/>
                <w:sz w:val="20"/>
                <w:szCs w:val="20"/>
              </w:rPr>
              <w:t>Status</w:t>
            </w:r>
            <w:proofErr w:type="gramStart"/>
            <w:r w:rsidRPr="00530EBF">
              <w:rPr>
                <w:b/>
                <w:bCs/>
                <w:sz w:val="20"/>
                <w:szCs w:val="20"/>
              </w:rPr>
              <w:t xml:space="preserve">: </w:t>
            </w:r>
            <w:r>
              <w:rPr>
                <w:b/>
                <w:bCs/>
                <w:sz w:val="20"/>
                <w:szCs w:val="20"/>
              </w:rPr>
              <w:t xml:space="preserve"> </w:t>
            </w:r>
            <w:r w:rsidRPr="00662D5E">
              <w:rPr>
                <w:i/>
                <w:iCs/>
                <w:sz w:val="20"/>
                <w:szCs w:val="20"/>
              </w:rPr>
              <w:t>[</w:t>
            </w:r>
            <w:proofErr w:type="gramEnd"/>
            <w:r w:rsidRPr="00662D5E">
              <w:rPr>
                <w:i/>
                <w:iCs/>
                <w:sz w:val="20"/>
                <w:szCs w:val="20"/>
              </w:rPr>
              <w:t>E.g. Names/years of relevant policies</w:t>
            </w:r>
            <w:r>
              <w:rPr>
                <w:i/>
                <w:iCs/>
                <w:sz w:val="20"/>
                <w:szCs w:val="20"/>
              </w:rPr>
              <w:t xml:space="preserve"> (and any updates)</w:t>
            </w:r>
            <w:r w:rsidRPr="00662D5E">
              <w:rPr>
                <w:i/>
                <w:iCs/>
                <w:sz w:val="20"/>
                <w:szCs w:val="20"/>
              </w:rPr>
              <w:t>, how they are being used to guide work,</w:t>
            </w:r>
            <w:r>
              <w:rPr>
                <w:i/>
                <w:iCs/>
                <w:sz w:val="20"/>
                <w:szCs w:val="20"/>
              </w:rPr>
              <w:t xml:space="preserve"> evidence/examples of implementation,</w:t>
            </w:r>
            <w:r w:rsidRPr="00662D5E">
              <w:rPr>
                <w:i/>
                <w:iCs/>
                <w:sz w:val="20"/>
                <w:szCs w:val="20"/>
              </w:rPr>
              <w:t xml:space="preserve"> and which policy objectives are monitored/achieved.</w:t>
            </w:r>
            <w:r>
              <w:rPr>
                <w:i/>
                <w:iCs/>
                <w:sz w:val="20"/>
                <w:szCs w:val="20"/>
              </w:rPr>
              <w:t xml:space="preserve"> Include links to further information where available.</w:t>
            </w:r>
            <w:r>
              <w:t xml:space="preserve"> </w:t>
            </w:r>
            <w:r w:rsidRPr="000977D5">
              <w:rPr>
                <w:i/>
                <w:iCs/>
                <w:sz w:val="20"/>
                <w:szCs w:val="20"/>
              </w:rPr>
              <w:t>Any challenges/barriers/gaps, or successes/enablers.</w:t>
            </w:r>
            <w:r w:rsidRPr="00662D5E">
              <w:rPr>
                <w:i/>
                <w:iCs/>
                <w:sz w:val="20"/>
                <w:szCs w:val="20"/>
              </w:rPr>
              <w:t>]</w:t>
            </w:r>
          </w:p>
        </w:tc>
      </w:tr>
      <w:tr w:rsidR="00383491" w:rsidRPr="0056077F" w14:paraId="0236C4F8" w14:textId="77777777" w:rsidTr="00383491">
        <w:trPr>
          <w:trHeight w:val="57"/>
        </w:trPr>
        <w:tc>
          <w:tcPr>
            <w:tcW w:w="5000" w:type="pct"/>
            <w:gridSpan w:val="10"/>
            <w:tcBorders>
              <w:top w:val="single" w:sz="4" w:space="0" w:color="auto"/>
              <w:left w:val="single" w:sz="4" w:space="0" w:color="auto"/>
              <w:bottom w:val="single" w:sz="4" w:space="0" w:color="auto"/>
              <w:right w:val="single" w:sz="4" w:space="0" w:color="auto"/>
            </w:tcBorders>
          </w:tcPr>
          <w:p w14:paraId="09FE7763" w14:textId="77777777" w:rsidR="00383491" w:rsidRPr="009B2CF5" w:rsidRDefault="00383491" w:rsidP="00383491">
            <w:pPr>
              <w:contextualSpacing/>
              <w:rPr>
                <w:i/>
                <w:iCs/>
                <w:sz w:val="20"/>
                <w:szCs w:val="20"/>
              </w:rPr>
            </w:pPr>
            <w:r>
              <w:rPr>
                <w:b/>
                <w:bCs/>
                <w:sz w:val="20"/>
                <w:szCs w:val="20"/>
              </w:rPr>
              <w:t>Changes since 2023 reporting</w:t>
            </w:r>
            <w:proofErr w:type="gramStart"/>
            <w:r w:rsidRPr="00613357">
              <w:rPr>
                <w:b/>
                <w:bCs/>
                <w:sz w:val="20"/>
                <w:szCs w:val="20"/>
              </w:rPr>
              <w:t>:</w:t>
            </w:r>
            <w:r w:rsidRPr="00E53832">
              <w:rPr>
                <w:sz w:val="20"/>
                <w:szCs w:val="20"/>
              </w:rPr>
              <w:t xml:space="preserve"> </w:t>
            </w:r>
            <w:r>
              <w:rPr>
                <w:sz w:val="20"/>
                <w:szCs w:val="20"/>
              </w:rPr>
              <w:t xml:space="preserve"> </w:t>
            </w:r>
            <w:r w:rsidRPr="002858F0">
              <w:rPr>
                <w:i/>
                <w:iCs/>
                <w:sz w:val="20"/>
                <w:szCs w:val="20"/>
              </w:rPr>
              <w:t>[</w:t>
            </w:r>
            <w:proofErr w:type="gramEnd"/>
            <w:r w:rsidRPr="002858F0">
              <w:rPr>
                <w:i/>
                <w:iCs/>
                <w:sz w:val="20"/>
                <w:szCs w:val="20"/>
              </w:rPr>
              <w:t>E.g. Summarise any specific changes since 2023</w:t>
            </w:r>
            <w:r>
              <w:rPr>
                <w:i/>
                <w:iCs/>
                <w:sz w:val="20"/>
                <w:szCs w:val="20"/>
              </w:rPr>
              <w:t>. If needed, comment on the interpretation of progress between years.</w:t>
            </w:r>
            <w:r w:rsidRPr="002858F0">
              <w:rPr>
                <w:i/>
                <w:iCs/>
                <w:sz w:val="20"/>
                <w:szCs w:val="20"/>
              </w:rPr>
              <w:t>]</w:t>
            </w:r>
          </w:p>
        </w:tc>
      </w:tr>
      <w:tr w:rsidR="00383491" w:rsidRPr="0056077F" w14:paraId="4B181BD5" w14:textId="77777777" w:rsidTr="00383491">
        <w:trPr>
          <w:trHeight w:val="57"/>
        </w:trPr>
        <w:tc>
          <w:tcPr>
            <w:tcW w:w="5000" w:type="pct"/>
            <w:gridSpan w:val="10"/>
            <w:tcBorders>
              <w:top w:val="single" w:sz="4" w:space="0" w:color="auto"/>
              <w:left w:val="single" w:sz="4" w:space="0" w:color="auto"/>
              <w:bottom w:val="single" w:sz="4" w:space="0" w:color="auto"/>
              <w:right w:val="single" w:sz="4" w:space="0" w:color="auto"/>
            </w:tcBorders>
          </w:tcPr>
          <w:p w14:paraId="0A2F13D2" w14:textId="77777777" w:rsidR="00383491" w:rsidRPr="009B2CF5" w:rsidRDefault="00383491" w:rsidP="00383491">
            <w:pPr>
              <w:contextualSpacing/>
              <w:rPr>
                <w:i/>
                <w:iCs/>
                <w:sz w:val="20"/>
                <w:szCs w:val="20"/>
              </w:rPr>
            </w:pPr>
            <w:r w:rsidRPr="00E53832">
              <w:rPr>
                <w:b/>
                <w:sz w:val="20"/>
                <w:szCs w:val="20"/>
              </w:rPr>
              <w:t>Way forward</w:t>
            </w:r>
            <w:proofErr w:type="gramStart"/>
            <w:r w:rsidRPr="00530EBF">
              <w:rPr>
                <w:b/>
                <w:sz w:val="20"/>
                <w:szCs w:val="20"/>
              </w:rPr>
              <w:t xml:space="preserve">: </w:t>
            </w:r>
            <w:r>
              <w:rPr>
                <w:b/>
                <w:sz w:val="20"/>
                <w:szCs w:val="20"/>
              </w:rPr>
              <w:t xml:space="preserve"> </w:t>
            </w:r>
            <w:r w:rsidRPr="00EA5CA3">
              <w:rPr>
                <w:i/>
                <w:iCs/>
                <w:sz w:val="20"/>
                <w:szCs w:val="20"/>
              </w:rPr>
              <w:t>[</w:t>
            </w:r>
            <w:proofErr w:type="gramEnd"/>
            <w:r w:rsidRPr="00EA5CA3">
              <w:rPr>
                <w:i/>
                <w:iCs/>
                <w:sz w:val="20"/>
                <w:szCs w:val="20"/>
              </w:rPr>
              <w:t xml:space="preserve">E.g. planned or recommended activities to advance implementation of policies; barriers and enablers; </w:t>
            </w:r>
            <w:r>
              <w:rPr>
                <w:i/>
                <w:iCs/>
                <w:sz w:val="20"/>
                <w:szCs w:val="20"/>
              </w:rPr>
              <w:t>suggested</w:t>
            </w:r>
            <w:r w:rsidRPr="00EA5CA3">
              <w:rPr>
                <w:i/>
                <w:iCs/>
                <w:sz w:val="20"/>
                <w:szCs w:val="20"/>
              </w:rPr>
              <w:t xml:space="preserve"> targets where appropriate.]</w:t>
            </w:r>
          </w:p>
        </w:tc>
      </w:tr>
    </w:tbl>
    <w:p w14:paraId="0EC14B20" w14:textId="3849FC0B" w:rsidR="00F80D92" w:rsidRDefault="00F80D92" w:rsidP="00F80D92">
      <w:pPr>
        <w:rPr>
          <w:i/>
          <w:iCs/>
          <w:color w:val="44546A" w:themeColor="text2"/>
          <w:sz w:val="21"/>
          <w:szCs w:val="21"/>
        </w:rPr>
      </w:pPr>
      <w:r>
        <w:rPr>
          <w:i/>
          <w:iCs/>
          <w:color w:val="44546A" w:themeColor="text2"/>
          <w:sz w:val="21"/>
          <w:szCs w:val="21"/>
        </w:rPr>
        <w:t>Figure 1</w:t>
      </w:r>
      <w:r w:rsidR="00D23128">
        <w:rPr>
          <w:i/>
          <w:iCs/>
          <w:color w:val="44546A" w:themeColor="text2"/>
          <w:sz w:val="21"/>
          <w:szCs w:val="21"/>
        </w:rPr>
        <w:t xml:space="preserve"> -</w:t>
      </w:r>
      <w:r w:rsidRPr="00FB55A6">
        <w:rPr>
          <w:i/>
          <w:iCs/>
          <w:color w:val="44546A" w:themeColor="text2"/>
          <w:sz w:val="21"/>
          <w:szCs w:val="21"/>
        </w:rPr>
        <w:t xml:space="preserve"> Example of a question from the SDG 6.5.1 survey</w:t>
      </w:r>
    </w:p>
    <w:p w14:paraId="1B9FF74E" w14:textId="684A99EC" w:rsidR="00970943" w:rsidRDefault="00970943" w:rsidP="00C87D2F">
      <w:pPr>
        <w:pStyle w:val="Heading1"/>
        <w:spacing w:after="60"/>
        <w:ind w:left="431" w:hanging="431"/>
      </w:pPr>
      <w:bookmarkStart w:id="9" w:name="_Toc219115791"/>
      <w:bookmarkStart w:id="10" w:name="_Toc219115792"/>
      <w:bookmarkStart w:id="11" w:name="_Toc219452828"/>
      <w:bookmarkEnd w:id="9"/>
      <w:bookmarkEnd w:id="10"/>
      <w:r w:rsidRPr="568FBF53">
        <w:lastRenderedPageBreak/>
        <w:t xml:space="preserve">SUBMISSION </w:t>
      </w:r>
      <w:r w:rsidR="00FA03CE">
        <w:t>PROCESS,</w:t>
      </w:r>
      <w:r w:rsidRPr="568FBF53">
        <w:t xml:space="preserve"> QUALITY ASSURANCE</w:t>
      </w:r>
      <w:r w:rsidR="00BC4289">
        <w:t>, TIMELINE</w:t>
      </w:r>
      <w:bookmarkEnd w:id="11"/>
    </w:p>
    <w:p w14:paraId="0BDD17C4" w14:textId="764F6F04" w:rsidR="499421B3" w:rsidRDefault="003E6BF0" w:rsidP="00FA03CE">
      <w:pPr>
        <w:pStyle w:val="Body"/>
        <w:rPr>
          <w:lang w:val="en-GB"/>
        </w:rPr>
      </w:pPr>
      <w:r w:rsidRPr="003E6BF0">
        <w:rPr>
          <w:lang w:val="en-GB"/>
        </w:rPr>
        <w:t xml:space="preserve">Countries are encouraged to submit interim or incomplete drafts with clarification questions </w:t>
      </w:r>
      <w:r w:rsidRPr="00271910">
        <w:rPr>
          <w:u w:val="single"/>
          <w:lang w:val="en-GB"/>
        </w:rPr>
        <w:t>at any time</w:t>
      </w:r>
      <w:r w:rsidRPr="003E6BF0">
        <w:rPr>
          <w:lang w:val="en-GB"/>
        </w:rPr>
        <w:t xml:space="preserve">. </w:t>
      </w:r>
      <w:r w:rsidR="00795FFC" w:rsidRPr="499421B3">
        <w:rPr>
          <w:lang w:val="en-GB"/>
        </w:rPr>
        <w:t xml:space="preserve">The submission process is as follows: </w:t>
      </w:r>
    </w:p>
    <w:p w14:paraId="277324CB" w14:textId="77B83010" w:rsidR="00795FFC" w:rsidRPr="00034016" w:rsidRDefault="3FD02D19" w:rsidP="0071781E">
      <w:pPr>
        <w:pStyle w:val="FootnoteText"/>
        <w:numPr>
          <w:ilvl w:val="0"/>
          <w:numId w:val="3"/>
        </w:numPr>
        <w:spacing w:line="240" w:lineRule="auto"/>
        <w:rPr>
          <w:color w:val="12354E" w:themeColor="accent1" w:themeShade="BF"/>
          <w:sz w:val="22"/>
          <w:szCs w:val="22"/>
          <w:lang w:val="en-AU"/>
        </w:rPr>
      </w:pPr>
      <w:r w:rsidRPr="6D62FBF0">
        <w:rPr>
          <w:b/>
          <w:bCs/>
          <w:color w:val="12354E" w:themeColor="accent1" w:themeShade="BF"/>
          <w:sz w:val="22"/>
          <w:szCs w:val="22"/>
        </w:rPr>
        <w:t>First</w:t>
      </w:r>
      <w:r w:rsidR="00795FFC" w:rsidRPr="6D62FBF0">
        <w:rPr>
          <w:b/>
          <w:bCs/>
          <w:color w:val="12354E" w:themeColor="accent1" w:themeShade="BF"/>
          <w:sz w:val="22"/>
          <w:szCs w:val="22"/>
        </w:rPr>
        <w:t xml:space="preserve"> Draft</w:t>
      </w:r>
      <w:r w:rsidR="00795FFC" w:rsidRPr="6D62FBF0">
        <w:rPr>
          <w:color w:val="12354E" w:themeColor="accent1" w:themeShade="BF"/>
          <w:sz w:val="22"/>
          <w:szCs w:val="22"/>
          <w:u w:val="single"/>
        </w:rPr>
        <w:t>:</w:t>
      </w:r>
      <w:r w:rsidR="00795FFC" w:rsidRPr="6D62FBF0">
        <w:rPr>
          <w:color w:val="12354E" w:themeColor="accent1" w:themeShade="BF"/>
          <w:sz w:val="22"/>
          <w:szCs w:val="22"/>
        </w:rPr>
        <w:t xml:space="preserve"> Focal Points </w:t>
      </w:r>
      <w:r w:rsidR="71891961" w:rsidRPr="6D62FBF0">
        <w:rPr>
          <w:color w:val="12354E" w:themeColor="accent1" w:themeShade="BF"/>
          <w:sz w:val="22"/>
          <w:szCs w:val="22"/>
        </w:rPr>
        <w:t>should</w:t>
      </w:r>
      <w:r w:rsidR="00795FFC" w:rsidRPr="6D62FBF0">
        <w:rPr>
          <w:color w:val="12354E" w:themeColor="accent1" w:themeShade="BF"/>
          <w:sz w:val="22"/>
          <w:szCs w:val="22"/>
        </w:rPr>
        <w:t xml:space="preserve"> share </w:t>
      </w:r>
      <w:r w:rsidR="44BDE024" w:rsidRPr="6D62FBF0">
        <w:rPr>
          <w:color w:val="12354E" w:themeColor="accent1" w:themeShade="BF"/>
          <w:sz w:val="22"/>
          <w:szCs w:val="22"/>
        </w:rPr>
        <w:t>a first draft</w:t>
      </w:r>
      <w:r w:rsidR="00795FFC" w:rsidRPr="6D62FBF0">
        <w:rPr>
          <w:color w:val="12354E" w:themeColor="accent1" w:themeShade="BF"/>
          <w:sz w:val="22"/>
          <w:szCs w:val="22"/>
        </w:rPr>
        <w:t xml:space="preserve"> with the Help Desk</w:t>
      </w:r>
      <w:r w:rsidR="008A4C89" w:rsidRPr="6D62FBF0">
        <w:rPr>
          <w:color w:val="12354E" w:themeColor="accent1" w:themeShade="BF"/>
          <w:sz w:val="22"/>
          <w:szCs w:val="22"/>
        </w:rPr>
        <w:t xml:space="preserve"> at </w:t>
      </w:r>
      <w:hyperlink r:id="rId21">
        <w:r w:rsidR="008A4C89" w:rsidRPr="6D62FBF0">
          <w:rPr>
            <w:rStyle w:val="Hyperlink"/>
            <w:sz w:val="22"/>
            <w:szCs w:val="22"/>
          </w:rPr>
          <w:t>iwrmsdg651@un.org</w:t>
        </w:r>
      </w:hyperlink>
      <w:r w:rsidR="66D8E307" w:rsidRPr="6D62FBF0">
        <w:rPr>
          <w:color w:val="12354E" w:themeColor="accent1" w:themeShade="BF"/>
          <w:sz w:val="22"/>
          <w:szCs w:val="22"/>
        </w:rPr>
        <w:t xml:space="preserve">, </w:t>
      </w:r>
      <w:r w:rsidR="66D8E307" w:rsidRPr="6D62FBF0">
        <w:rPr>
          <w:color w:val="12354E" w:themeColor="accent1" w:themeShade="BF"/>
          <w:sz w:val="22"/>
          <w:szCs w:val="22"/>
          <w:u w:val="single"/>
        </w:rPr>
        <w:t>a</w:t>
      </w:r>
      <w:r w:rsidR="66D8E307" w:rsidRPr="6D62FBF0">
        <w:rPr>
          <w:rFonts w:ascii="Calibri" w:eastAsia="Calibri" w:hAnsi="Calibri" w:cs="Calibri"/>
          <w:color w:val="12354E" w:themeColor="accent1" w:themeShade="BF"/>
          <w:sz w:val="22"/>
          <w:szCs w:val="22"/>
          <w:u w:val="single"/>
        </w:rPr>
        <w:t>fter</w:t>
      </w:r>
      <w:r w:rsidR="66D8E307" w:rsidRPr="6D62FBF0">
        <w:rPr>
          <w:rFonts w:ascii="Calibri" w:eastAsia="Calibri" w:hAnsi="Calibri" w:cs="Calibri"/>
          <w:color w:val="12354E" w:themeColor="accent1" w:themeShade="BF"/>
          <w:sz w:val="22"/>
          <w:szCs w:val="22"/>
        </w:rPr>
        <w:t xml:space="preserve"> going thr</w:t>
      </w:r>
      <w:r w:rsidR="008A4C89" w:rsidRPr="6D62FBF0">
        <w:rPr>
          <w:rFonts w:ascii="Calibri" w:eastAsia="Calibri" w:hAnsi="Calibri" w:cs="Calibri"/>
          <w:color w:val="12354E" w:themeColor="accent1" w:themeShade="BF"/>
          <w:sz w:val="22"/>
          <w:szCs w:val="22"/>
        </w:rPr>
        <w:t>ou</w:t>
      </w:r>
      <w:r w:rsidR="66D8E307" w:rsidRPr="6D62FBF0">
        <w:rPr>
          <w:rFonts w:ascii="Calibri" w:eastAsia="Calibri" w:hAnsi="Calibri" w:cs="Calibri"/>
          <w:color w:val="12354E" w:themeColor="accent1" w:themeShade="BF"/>
          <w:sz w:val="22"/>
          <w:szCs w:val="22"/>
        </w:rPr>
        <w:t xml:space="preserve">gh </w:t>
      </w:r>
      <w:r w:rsidR="00B00D96" w:rsidRPr="6D62FBF0">
        <w:rPr>
          <w:rFonts w:ascii="Calibri" w:eastAsia="Calibri" w:hAnsi="Calibri" w:cs="Calibri"/>
          <w:color w:val="12354E" w:themeColor="accent1" w:themeShade="BF"/>
          <w:sz w:val="22"/>
          <w:szCs w:val="22"/>
        </w:rPr>
        <w:t xml:space="preserve">the </w:t>
      </w:r>
      <w:r w:rsidR="66D8E307" w:rsidRPr="6D62FBF0">
        <w:rPr>
          <w:rFonts w:ascii="Calibri" w:eastAsia="Calibri" w:hAnsi="Calibri" w:cs="Calibri"/>
          <w:color w:val="12354E" w:themeColor="accent1" w:themeShade="BF"/>
          <w:sz w:val="22"/>
          <w:szCs w:val="22"/>
        </w:rPr>
        <w:t xml:space="preserve">country </w:t>
      </w:r>
      <w:r w:rsidR="00B00D96" w:rsidRPr="6D62FBF0">
        <w:rPr>
          <w:rFonts w:ascii="Calibri" w:eastAsia="Calibri" w:hAnsi="Calibri" w:cs="Calibri"/>
          <w:color w:val="12354E" w:themeColor="accent1" w:themeShade="BF"/>
          <w:sz w:val="22"/>
          <w:szCs w:val="22"/>
        </w:rPr>
        <w:t>consultation process</w:t>
      </w:r>
      <w:r w:rsidR="66D8E307" w:rsidRPr="6D62FBF0">
        <w:rPr>
          <w:rFonts w:ascii="Calibri" w:eastAsia="Calibri" w:hAnsi="Calibri" w:cs="Calibri"/>
          <w:color w:val="12354E" w:themeColor="accent1" w:themeShade="BF"/>
          <w:sz w:val="22"/>
          <w:szCs w:val="22"/>
        </w:rPr>
        <w:t xml:space="preserve">, but </w:t>
      </w:r>
      <w:r w:rsidR="66D8E307" w:rsidRPr="6D62FBF0">
        <w:rPr>
          <w:rFonts w:ascii="Calibri" w:eastAsia="Calibri" w:hAnsi="Calibri" w:cs="Calibri"/>
          <w:color w:val="12354E" w:themeColor="accent1" w:themeShade="BF"/>
          <w:sz w:val="22"/>
          <w:szCs w:val="22"/>
          <w:u w:val="single"/>
        </w:rPr>
        <w:t>before</w:t>
      </w:r>
      <w:r w:rsidR="66D8E307" w:rsidRPr="6D62FBF0">
        <w:rPr>
          <w:rFonts w:ascii="Calibri" w:eastAsia="Calibri" w:hAnsi="Calibri" w:cs="Calibri"/>
          <w:color w:val="12354E" w:themeColor="accent1" w:themeShade="BF"/>
          <w:sz w:val="22"/>
          <w:szCs w:val="22"/>
        </w:rPr>
        <w:t xml:space="preserve"> formal finalisation / endorsement by the countr</w:t>
      </w:r>
      <w:r w:rsidR="00A547C4" w:rsidRPr="6D62FBF0">
        <w:rPr>
          <w:rFonts w:ascii="Calibri" w:eastAsia="Calibri" w:hAnsi="Calibri" w:cs="Calibri"/>
          <w:color w:val="12354E" w:themeColor="accent1" w:themeShade="BF"/>
          <w:sz w:val="22"/>
          <w:szCs w:val="22"/>
        </w:rPr>
        <w:t>y.</w:t>
      </w:r>
      <w:r w:rsidR="005470EE" w:rsidRPr="6D62FBF0">
        <w:rPr>
          <w:rFonts w:ascii="Calibri" w:eastAsia="Calibri" w:hAnsi="Calibri" w:cs="Calibri"/>
          <w:color w:val="12354E" w:themeColor="accent1" w:themeShade="BF"/>
          <w:sz w:val="22"/>
          <w:szCs w:val="22"/>
        </w:rPr>
        <w:t xml:space="preserve"> </w:t>
      </w:r>
      <w:r w:rsidR="00A547C4" w:rsidRPr="6D62FBF0">
        <w:rPr>
          <w:rFonts w:ascii="Calibri" w:eastAsia="Calibri" w:hAnsi="Calibri" w:cs="Calibri"/>
          <w:color w:val="12354E" w:themeColor="accent1" w:themeShade="BF"/>
          <w:sz w:val="22"/>
          <w:szCs w:val="22"/>
        </w:rPr>
        <w:t xml:space="preserve">The Help Desk will review the draft and provide feedback </w:t>
      </w:r>
      <w:r w:rsidR="00795FFC" w:rsidRPr="6D62FBF0">
        <w:rPr>
          <w:color w:val="12354E" w:themeColor="accent1" w:themeShade="BF"/>
          <w:sz w:val="22"/>
          <w:szCs w:val="22"/>
        </w:rPr>
        <w:t>and clarifications.</w:t>
      </w:r>
      <w:r w:rsidR="00B00D96" w:rsidRPr="6D62FBF0">
        <w:rPr>
          <w:color w:val="12354E" w:themeColor="accent1" w:themeShade="BF"/>
          <w:sz w:val="22"/>
          <w:szCs w:val="22"/>
        </w:rPr>
        <w:t xml:space="preserve"> </w:t>
      </w:r>
      <w:r w:rsidR="00FA03CE" w:rsidRPr="6D62FBF0">
        <w:rPr>
          <w:color w:val="12354E" w:themeColor="accent1" w:themeShade="BF"/>
          <w:sz w:val="22"/>
          <w:szCs w:val="22"/>
        </w:rPr>
        <w:t xml:space="preserve">Please use </w:t>
      </w:r>
      <w:r w:rsidR="00B00D96" w:rsidRPr="6D62FBF0">
        <w:rPr>
          <w:color w:val="12354E" w:themeColor="accent1" w:themeShade="BF"/>
          <w:sz w:val="22"/>
          <w:szCs w:val="22"/>
        </w:rPr>
        <w:t xml:space="preserve">the following file name format: </w:t>
      </w:r>
      <w:bookmarkStart w:id="12" w:name="_Hlk220579809"/>
      <w:r w:rsidR="00B00D96" w:rsidRPr="6D62FBF0">
        <w:rPr>
          <w:color w:val="12354E" w:themeColor="accent1" w:themeShade="BF"/>
          <w:sz w:val="22"/>
          <w:szCs w:val="22"/>
        </w:rPr>
        <w:t>CountryName_</w:t>
      </w:r>
      <w:r w:rsidR="00D26529">
        <w:rPr>
          <w:color w:val="12354E" w:themeColor="accent1" w:themeShade="BF"/>
          <w:sz w:val="22"/>
          <w:szCs w:val="22"/>
        </w:rPr>
        <w:t>SDG</w:t>
      </w:r>
      <w:r w:rsidR="00B00D96" w:rsidRPr="6D62FBF0">
        <w:rPr>
          <w:color w:val="12354E" w:themeColor="accent1" w:themeShade="BF"/>
          <w:sz w:val="22"/>
          <w:szCs w:val="22"/>
        </w:rPr>
        <w:t>651_2026_2-letter-language-code_FIRST-DRAFT _ddmmyyy.docx</w:t>
      </w:r>
      <w:bookmarkEnd w:id="12"/>
    </w:p>
    <w:p w14:paraId="20273923" w14:textId="7018C06F" w:rsidR="00B00D96" w:rsidRPr="0095565C" w:rsidRDefault="00795FFC" w:rsidP="5567064B">
      <w:pPr>
        <w:pStyle w:val="Body"/>
        <w:numPr>
          <w:ilvl w:val="0"/>
          <w:numId w:val="3"/>
        </w:numPr>
        <w:ind w:left="714" w:hanging="357"/>
        <w:contextualSpacing/>
        <w:rPr>
          <w:lang w:val="en-GB"/>
        </w:rPr>
      </w:pPr>
      <w:r w:rsidRPr="5567064B">
        <w:rPr>
          <w:b/>
          <w:bCs/>
          <w:lang w:val="en-GB"/>
        </w:rPr>
        <w:t>Final Draft:</w:t>
      </w:r>
      <w:r w:rsidRPr="5567064B">
        <w:rPr>
          <w:lang w:val="en-GB"/>
        </w:rPr>
        <w:t xml:space="preserve"> Focal Points are responsible </w:t>
      </w:r>
      <w:r w:rsidR="0BAF22FE" w:rsidRPr="5567064B">
        <w:rPr>
          <w:lang w:val="en-GB"/>
        </w:rPr>
        <w:t xml:space="preserve">for </w:t>
      </w:r>
      <w:r w:rsidR="00A547C4" w:rsidRPr="5567064B">
        <w:rPr>
          <w:lang w:val="en-GB"/>
        </w:rPr>
        <w:t>addressing comments and for returning</w:t>
      </w:r>
      <w:r w:rsidRPr="5567064B">
        <w:rPr>
          <w:lang w:val="en-GB"/>
        </w:rPr>
        <w:t xml:space="preserve"> a completed Final Draft survey to the Help Desk. Relevant national approval process</w:t>
      </w:r>
      <w:r w:rsidR="08EA09A4" w:rsidRPr="5567064B">
        <w:rPr>
          <w:lang w:val="en-GB"/>
        </w:rPr>
        <w:t>es</w:t>
      </w:r>
      <w:r w:rsidRPr="5567064B">
        <w:rPr>
          <w:lang w:val="en-GB"/>
        </w:rPr>
        <w:t xml:space="preserve"> should be followed.</w:t>
      </w:r>
      <w:r w:rsidR="003B2758" w:rsidRPr="5567064B">
        <w:rPr>
          <w:lang w:val="en-GB"/>
        </w:rPr>
        <w:t xml:space="preserve"> </w:t>
      </w:r>
      <w:r w:rsidR="00FA03CE" w:rsidRPr="5567064B">
        <w:rPr>
          <w:lang w:val="en-GB"/>
        </w:rPr>
        <w:t>Please use</w:t>
      </w:r>
      <w:r w:rsidR="00B00D96" w:rsidRPr="5567064B">
        <w:rPr>
          <w:lang w:val="en-GB"/>
        </w:rPr>
        <w:t xml:space="preserve"> the following file name </w:t>
      </w:r>
      <w:r w:rsidR="00CC78E2" w:rsidRPr="5567064B">
        <w:rPr>
          <w:lang w:val="en-GB"/>
        </w:rPr>
        <w:t>format</w:t>
      </w:r>
      <w:r w:rsidR="00B00D96" w:rsidRPr="5567064B">
        <w:rPr>
          <w:lang w:val="en-GB"/>
        </w:rPr>
        <w:t>:</w:t>
      </w:r>
      <w:r w:rsidR="00B00D96" w:rsidRPr="5567064B">
        <w:rPr>
          <w:color w:val="194869" w:themeColor="accent1"/>
          <w:sz w:val="20"/>
          <w:szCs w:val="20"/>
          <w:lang w:val="en-US"/>
        </w:rPr>
        <w:t xml:space="preserve"> </w:t>
      </w:r>
      <w:proofErr w:type="spellStart"/>
      <w:r w:rsidR="00B00D96" w:rsidRPr="5567064B">
        <w:rPr>
          <w:color w:val="194869" w:themeColor="accent1"/>
          <w:lang w:val="en-US"/>
        </w:rPr>
        <w:t>CountryName</w:t>
      </w:r>
      <w:proofErr w:type="spellEnd"/>
      <w:r w:rsidR="00B00D96" w:rsidRPr="5567064B">
        <w:rPr>
          <w:color w:val="194869" w:themeColor="accent1"/>
          <w:lang w:val="en-US"/>
        </w:rPr>
        <w:t>_</w:t>
      </w:r>
      <w:r w:rsidR="00D26529" w:rsidRPr="00D26529">
        <w:rPr>
          <w:szCs w:val="22"/>
          <w:lang w:val="en-MY"/>
        </w:rPr>
        <w:t>SDG</w:t>
      </w:r>
      <w:r w:rsidR="00B00D96" w:rsidRPr="5567064B">
        <w:rPr>
          <w:color w:val="194869" w:themeColor="accent1"/>
          <w:lang w:val="en-US"/>
        </w:rPr>
        <w:t>651_2026_2-letter-language-code_FINAL-DRAFT_ddmmyyy.docx</w:t>
      </w:r>
      <w:r w:rsidRPr="5567064B">
        <w:rPr>
          <w:lang w:val="en-GB"/>
        </w:rPr>
        <w:t xml:space="preserve">. </w:t>
      </w:r>
    </w:p>
    <w:p w14:paraId="1FCEED59" w14:textId="625D8C8E" w:rsidR="0010059F" w:rsidRPr="00271910" w:rsidRDefault="00795FFC" w:rsidP="0071781E">
      <w:pPr>
        <w:pStyle w:val="Body"/>
        <w:numPr>
          <w:ilvl w:val="0"/>
          <w:numId w:val="3"/>
        </w:numPr>
        <w:ind w:left="714" w:hanging="357"/>
        <w:rPr>
          <w:lang w:val="en-US"/>
        </w:rPr>
      </w:pPr>
      <w:r w:rsidRPr="5567064B">
        <w:rPr>
          <w:b/>
          <w:bCs/>
          <w:lang w:val="en-GB"/>
        </w:rPr>
        <w:t>Finalisation:</w:t>
      </w:r>
      <w:r w:rsidRPr="5567064B">
        <w:rPr>
          <w:lang w:val="en-GB"/>
        </w:rPr>
        <w:t xml:space="preserve"> </w:t>
      </w:r>
      <w:r w:rsidR="6B0528F9" w:rsidRPr="5567064B">
        <w:rPr>
          <w:lang w:val="en-GB"/>
        </w:rPr>
        <w:t>O</w:t>
      </w:r>
      <w:r w:rsidRPr="5567064B">
        <w:rPr>
          <w:lang w:val="en-GB"/>
        </w:rPr>
        <w:t xml:space="preserve">nce the Focal Point and the Help Desk are satisfied that all </w:t>
      </w:r>
      <w:r w:rsidR="000977BE" w:rsidRPr="5567064B">
        <w:rPr>
          <w:lang w:val="en-GB"/>
        </w:rPr>
        <w:t>Quality Assurance (</w:t>
      </w:r>
      <w:r w:rsidRPr="5567064B">
        <w:rPr>
          <w:lang w:val="en-GB"/>
        </w:rPr>
        <w:t>QA</w:t>
      </w:r>
      <w:r w:rsidR="000977BE" w:rsidRPr="5567064B">
        <w:rPr>
          <w:lang w:val="en-GB"/>
        </w:rPr>
        <w:t>)</w:t>
      </w:r>
      <w:r w:rsidRPr="5567064B">
        <w:rPr>
          <w:lang w:val="en-GB"/>
        </w:rPr>
        <w:t xml:space="preserve"> criteria have been met, </w:t>
      </w:r>
      <w:r w:rsidR="00A547C4" w:rsidRPr="5567064B">
        <w:rPr>
          <w:rFonts w:ascii="Calibri" w:eastAsia="Calibri" w:hAnsi="Calibri" w:cs="Calibri"/>
          <w:lang w:val="en-GB"/>
        </w:rPr>
        <w:t xml:space="preserve">the Help Desk ‘cleans’ the survey, removing the Focal Point checklist, and returns the </w:t>
      </w:r>
      <w:r w:rsidR="00640F4C" w:rsidRPr="5567064B">
        <w:rPr>
          <w:rFonts w:ascii="Calibri" w:eastAsia="Calibri" w:hAnsi="Calibri" w:cs="Calibri"/>
          <w:lang w:val="en-GB"/>
        </w:rPr>
        <w:t>final</w:t>
      </w:r>
      <w:r w:rsidR="00A547C4" w:rsidRPr="5567064B">
        <w:rPr>
          <w:rFonts w:ascii="Calibri" w:eastAsia="Calibri" w:hAnsi="Calibri" w:cs="Calibri"/>
          <w:lang w:val="en-GB"/>
        </w:rPr>
        <w:t xml:space="preserve"> version to the Focal Point</w:t>
      </w:r>
    </w:p>
    <w:p w14:paraId="3C35AC89" w14:textId="4EB8824B" w:rsidR="00D84696" w:rsidRDefault="00120281" w:rsidP="00FA03CE">
      <w:pPr>
        <w:pStyle w:val="Body"/>
        <w:rPr>
          <w:lang w:val="en-GB"/>
        </w:rPr>
      </w:pPr>
      <w:r>
        <w:rPr>
          <w:lang w:val="en-US"/>
        </w:rPr>
        <w:t xml:space="preserve">For any interim draft, first draft, or final draft surveys, </w:t>
      </w:r>
      <w:r w:rsidRPr="568FBF53">
        <w:rPr>
          <w:lang w:val="en-GB"/>
        </w:rPr>
        <w:t>the Help Desk will undertake standard QA procedures to check that the survey has been properly completed, with correct calculation of indicator scores</w:t>
      </w:r>
      <w:r>
        <w:rPr>
          <w:lang w:val="en-GB"/>
        </w:rPr>
        <w:t xml:space="preserve">, and </w:t>
      </w:r>
      <w:r w:rsidR="00F914A0">
        <w:rPr>
          <w:lang w:val="en-GB"/>
        </w:rPr>
        <w:t xml:space="preserve">adequate free-text </w:t>
      </w:r>
      <w:r w:rsidR="00CC78E2">
        <w:rPr>
          <w:lang w:val="en-GB"/>
        </w:rPr>
        <w:t>responses</w:t>
      </w:r>
      <w:r w:rsidR="00F914A0">
        <w:rPr>
          <w:lang w:val="en-GB"/>
        </w:rPr>
        <w:t xml:space="preserve"> to support the question scores. </w:t>
      </w:r>
    </w:p>
    <w:p w14:paraId="0895027E" w14:textId="29EC09C4" w:rsidR="00792B90" w:rsidRDefault="00B5404D" w:rsidP="00BC15C6">
      <w:pPr>
        <w:pStyle w:val="Body"/>
        <w:keepNext/>
        <w:jc w:val="both"/>
        <w:rPr>
          <w:lang w:val="en-GB"/>
        </w:rPr>
      </w:pPr>
      <w:r w:rsidRPr="5567064B">
        <w:rPr>
          <w:b/>
          <w:bCs/>
          <w:lang w:val="en-GB"/>
        </w:rPr>
        <w:t xml:space="preserve">Timeline: </w:t>
      </w:r>
      <w:r w:rsidRPr="5567064B">
        <w:rPr>
          <w:lang w:val="en-GB"/>
        </w:rPr>
        <w:t xml:space="preserve">As shown in Figure 2 below, the submission date for the </w:t>
      </w:r>
      <w:r w:rsidRPr="5567064B">
        <w:rPr>
          <w:b/>
          <w:bCs/>
          <w:lang w:val="en-GB"/>
        </w:rPr>
        <w:t>First Draft is 5</w:t>
      </w:r>
      <w:r w:rsidRPr="5567064B">
        <w:rPr>
          <w:b/>
          <w:bCs/>
          <w:vertAlign w:val="superscript"/>
          <w:lang w:val="en-GB"/>
        </w:rPr>
        <w:t>th</w:t>
      </w:r>
      <w:r w:rsidRPr="5567064B">
        <w:rPr>
          <w:b/>
          <w:bCs/>
          <w:lang w:val="en-GB"/>
        </w:rPr>
        <w:t xml:space="preserve"> June 2026</w:t>
      </w:r>
      <w:r w:rsidRPr="5567064B">
        <w:rPr>
          <w:lang w:val="en-GB"/>
        </w:rPr>
        <w:t>. Any variations to timelines will be communicated to the Focal Points from the Help Desk. Focal Points are</w:t>
      </w:r>
      <w:r w:rsidR="00BC15C6" w:rsidRPr="5567064B">
        <w:rPr>
          <w:lang w:val="en-GB"/>
        </w:rPr>
        <w:t xml:space="preserve"> </w:t>
      </w:r>
      <w:r w:rsidRPr="5567064B">
        <w:rPr>
          <w:lang w:val="en-GB"/>
        </w:rPr>
        <w:t xml:space="preserve">invited to keep the Help Desk informed of </w:t>
      </w:r>
      <w:r w:rsidR="008331F2" w:rsidRPr="5567064B">
        <w:rPr>
          <w:lang w:val="en-GB"/>
        </w:rPr>
        <w:t>progress and</w:t>
      </w:r>
      <w:r w:rsidRPr="5567064B">
        <w:rPr>
          <w:lang w:val="en-GB"/>
        </w:rPr>
        <w:t xml:space="preserve"> should notify the Help Desk if there are challenges meeting the deadlines. </w:t>
      </w:r>
    </w:p>
    <w:p w14:paraId="057C8ECC" w14:textId="761503A0" w:rsidR="00792B90" w:rsidRPr="00271910" w:rsidRDefault="4834CCAB" w:rsidP="5567064B">
      <w:pPr>
        <w:pStyle w:val="Body"/>
        <w:keepNext/>
        <w:jc w:val="both"/>
        <w:rPr>
          <w:sz w:val="21"/>
          <w:szCs w:val="21"/>
        </w:rPr>
      </w:pPr>
      <w:r>
        <w:rPr>
          <w:noProof/>
        </w:rPr>
        <w:drawing>
          <wp:inline distT="0" distB="0" distL="0" distR="0" wp14:anchorId="4042728B" wp14:editId="3E7EE3A4">
            <wp:extent cx="5724525" cy="2152650"/>
            <wp:effectExtent l="0" t="0" r="0" b="0"/>
            <wp:docPr id="931930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30220" name="Picture 931930220"/>
                    <pic:cNvPicPr/>
                  </pic:nvPicPr>
                  <pic:blipFill>
                    <a:blip r:embed="rId22">
                      <a:extLst>
                        <a:ext uri="{28A0092B-C50C-407E-A947-70E740481C1C}">
                          <a14:useLocalDpi xmlns:a14="http://schemas.microsoft.com/office/drawing/2010/main"/>
                        </a:ext>
                      </a:extLst>
                    </a:blip>
                    <a:stretch>
                      <a:fillRect/>
                    </a:stretch>
                  </pic:blipFill>
                  <pic:spPr>
                    <a:xfrm>
                      <a:off x="0" y="0"/>
                      <a:ext cx="5724525" cy="2152650"/>
                    </a:xfrm>
                    <a:prstGeom prst="rect">
                      <a:avLst/>
                    </a:prstGeom>
                  </pic:spPr>
                </pic:pic>
              </a:graphicData>
            </a:graphic>
          </wp:inline>
        </w:drawing>
      </w:r>
      <w:r w:rsidR="00792B90" w:rsidRPr="5567064B">
        <w:rPr>
          <w:sz w:val="21"/>
          <w:szCs w:val="21"/>
        </w:rPr>
        <w:t xml:space="preserve">Figure </w:t>
      </w:r>
      <w:r w:rsidR="00B5404D" w:rsidRPr="5567064B">
        <w:rPr>
          <w:sz w:val="21"/>
          <w:szCs w:val="21"/>
        </w:rPr>
        <w:t>2</w:t>
      </w:r>
      <w:r w:rsidR="00CE3756" w:rsidRPr="5567064B">
        <w:rPr>
          <w:sz w:val="21"/>
          <w:szCs w:val="21"/>
        </w:rPr>
        <w:t xml:space="preserve"> </w:t>
      </w:r>
      <w:r w:rsidR="00792B90" w:rsidRPr="5567064B">
        <w:rPr>
          <w:sz w:val="21"/>
          <w:szCs w:val="21"/>
          <w:lang w:val="en-US"/>
        </w:rPr>
        <w:t>- Timeline for reporting 2026</w:t>
      </w:r>
    </w:p>
    <w:p w14:paraId="0A8F2BB1" w14:textId="732B995B" w:rsidR="00970943" w:rsidRDefault="00970943" w:rsidP="00C87D2F">
      <w:pPr>
        <w:pStyle w:val="Heading1"/>
        <w:spacing w:after="60"/>
        <w:ind w:left="431" w:hanging="431"/>
      </w:pPr>
      <w:bookmarkStart w:id="13" w:name="_Toc219452829"/>
      <w:r w:rsidRPr="568FBF53">
        <w:t>AFTER SUBMISSION</w:t>
      </w:r>
      <w:bookmarkEnd w:id="13"/>
      <w:r w:rsidRPr="568FBF53">
        <w:t xml:space="preserve"> </w:t>
      </w:r>
    </w:p>
    <w:p w14:paraId="1303CA5A" w14:textId="4E13F0FE" w:rsidR="00795FFC" w:rsidRPr="00795FFC" w:rsidRDefault="00795FFC" w:rsidP="568FBF53">
      <w:pPr>
        <w:pStyle w:val="Body"/>
        <w:jc w:val="both"/>
        <w:rPr>
          <w:lang w:val="en-GB"/>
        </w:rPr>
      </w:pPr>
      <w:r w:rsidRPr="1B7ADB4A">
        <w:rPr>
          <w:lang w:val="en-GB"/>
        </w:rPr>
        <w:t xml:space="preserve">SDG 6.5.1 Focal Points are encouraged to share the outcomes, advocate for resources and discuss the way forward with relevant decision-makers, making use of the </w:t>
      </w:r>
      <w:hyperlink r:id="rId23">
        <w:r w:rsidRPr="1B7ADB4A">
          <w:rPr>
            <w:rStyle w:val="Hyperlink"/>
            <w:lang w:val="en-GB"/>
          </w:rPr>
          <w:t>country summaries</w:t>
        </w:r>
      </w:hyperlink>
      <w:r w:rsidRPr="1B7ADB4A">
        <w:rPr>
          <w:lang w:val="en-GB"/>
        </w:rPr>
        <w:t xml:space="preserve"> available on the IWRM Data Portal. </w:t>
      </w:r>
    </w:p>
    <w:p w14:paraId="13768A62" w14:textId="4D4E6CC1" w:rsidR="00795FFC" w:rsidRPr="00795FFC" w:rsidRDefault="00795FFC" w:rsidP="568FBF53">
      <w:pPr>
        <w:pStyle w:val="Body"/>
        <w:jc w:val="both"/>
        <w:rPr>
          <w:lang w:val="en-GB"/>
        </w:rPr>
      </w:pPr>
      <w:r w:rsidRPr="0CCD0A1B">
        <w:rPr>
          <w:lang w:val="en-GB"/>
        </w:rPr>
        <w:t>The SDG 6 IWRM Support Programme offers technical and financial assistance to a limited number of countries in developing an IWRM Action Plan</w:t>
      </w:r>
      <w:r w:rsidR="004B5C22" w:rsidRPr="0CCD0A1B">
        <w:rPr>
          <w:lang w:val="en-GB"/>
        </w:rPr>
        <w:t xml:space="preserve"> or similar</w:t>
      </w:r>
      <w:r w:rsidR="00EB2D3E" w:rsidRPr="0CCD0A1B">
        <w:rPr>
          <w:lang w:val="en-GB"/>
        </w:rPr>
        <w:t xml:space="preserve"> (</w:t>
      </w:r>
      <w:hyperlink r:id="rId24">
        <w:r w:rsidR="00EB2D3E" w:rsidRPr="0CCD0A1B">
          <w:rPr>
            <w:rStyle w:val="Hyperlink"/>
            <w:lang w:val="en-GB"/>
          </w:rPr>
          <w:t>Stage 2</w:t>
        </w:r>
      </w:hyperlink>
      <w:r w:rsidR="00EB2D3E" w:rsidRPr="0CCD0A1B">
        <w:rPr>
          <w:lang w:val="en-GB"/>
        </w:rPr>
        <w:t>)</w:t>
      </w:r>
      <w:r w:rsidR="00FA16D5" w:rsidRPr="0CCD0A1B">
        <w:rPr>
          <w:lang w:val="en-GB"/>
        </w:rPr>
        <w:t>, and/or accessing financing for implementation (</w:t>
      </w:r>
      <w:hyperlink r:id="rId25">
        <w:r w:rsidR="00FA16D5" w:rsidRPr="0CCD0A1B">
          <w:rPr>
            <w:rStyle w:val="Hyperlink"/>
            <w:lang w:val="en-GB"/>
          </w:rPr>
          <w:t>Stage 3</w:t>
        </w:r>
      </w:hyperlink>
      <w:r w:rsidR="00FA16D5" w:rsidRPr="0CCD0A1B">
        <w:rPr>
          <w:lang w:val="en-GB"/>
        </w:rPr>
        <w:t>)</w:t>
      </w:r>
      <w:r w:rsidRPr="0CCD0A1B">
        <w:rPr>
          <w:lang w:val="en-GB"/>
        </w:rPr>
        <w:t>. Interested countries can contact the Support Programme for more information (</w:t>
      </w:r>
      <w:hyperlink r:id="rId26">
        <w:r w:rsidRPr="0CCD0A1B">
          <w:rPr>
            <w:rStyle w:val="Hyperlink"/>
            <w:lang w:val="en-GB"/>
          </w:rPr>
          <w:t>sdg6iwrmsp@gwp.org</w:t>
        </w:r>
      </w:hyperlink>
      <w:r w:rsidRPr="0CCD0A1B">
        <w:rPr>
          <w:lang w:val="en-GB"/>
        </w:rPr>
        <w:t xml:space="preserve">) and view existing </w:t>
      </w:r>
      <w:hyperlink r:id="rId27">
        <w:r w:rsidRPr="0CCD0A1B">
          <w:rPr>
            <w:rStyle w:val="Hyperlink"/>
            <w:lang w:val="en-GB"/>
          </w:rPr>
          <w:t>IWRM Action Plans</w:t>
        </w:r>
      </w:hyperlink>
      <w:r w:rsidRPr="0CCD0A1B">
        <w:rPr>
          <w:lang w:val="en-GB"/>
        </w:rPr>
        <w:t>.</w:t>
      </w:r>
    </w:p>
    <w:p w14:paraId="01A23D41" w14:textId="1E0CB4F4" w:rsidR="00970943" w:rsidRDefault="00795FFC" w:rsidP="00804593">
      <w:pPr>
        <w:pStyle w:val="Body"/>
        <w:jc w:val="both"/>
        <w:rPr>
          <w:lang w:val="en-GB"/>
        </w:rPr>
      </w:pPr>
      <w:r w:rsidRPr="17515CB1">
        <w:rPr>
          <w:rStyle w:val="normaltextrun"/>
          <w:lang w:val="en-GB"/>
        </w:rPr>
        <w:t xml:space="preserve">The SDG 6 IWRM Support Programme can </w:t>
      </w:r>
      <w:r w:rsidR="003850C2">
        <w:rPr>
          <w:rStyle w:val="normaltextrun"/>
          <w:lang w:val="en-GB"/>
        </w:rPr>
        <w:t xml:space="preserve">also </w:t>
      </w:r>
      <w:r w:rsidRPr="17515CB1">
        <w:rPr>
          <w:rStyle w:val="normaltextrun"/>
          <w:lang w:val="en-GB"/>
        </w:rPr>
        <w:t xml:space="preserve">support work with regional bodies to co-develop assessments and products to help advance IWRM implementation at national and </w:t>
      </w:r>
      <w:r w:rsidRPr="00874432">
        <w:rPr>
          <w:lang w:val="en-GB"/>
        </w:rPr>
        <w:t>regional</w:t>
      </w:r>
      <w:r w:rsidRPr="17515CB1">
        <w:rPr>
          <w:rStyle w:val="normaltextrun"/>
          <w:lang w:val="en-GB"/>
        </w:rPr>
        <w:t xml:space="preserve"> levels</w:t>
      </w:r>
      <w:r w:rsidRPr="17515CB1">
        <w:rPr>
          <w:lang w:val="en-GB"/>
        </w:rPr>
        <w:t>.</w:t>
      </w:r>
    </w:p>
    <w:p w14:paraId="0F25E7C2" w14:textId="7F3B328D" w:rsidR="00A76008" w:rsidRPr="00495926" w:rsidRDefault="00A76008" w:rsidP="00D4518A">
      <w:pPr>
        <w:pStyle w:val="Body"/>
        <w:jc w:val="both"/>
        <w:rPr>
          <w:lang w:val="en-US"/>
        </w:rPr>
      </w:pPr>
      <w:r w:rsidRPr="00795FFC">
        <w:rPr>
          <w:lang w:val="en-GB"/>
        </w:rPr>
        <w:lastRenderedPageBreak/>
        <w:t xml:space="preserve">After each </w:t>
      </w:r>
      <w:r>
        <w:rPr>
          <w:lang w:val="en-GB"/>
        </w:rPr>
        <w:t>data collection</w:t>
      </w:r>
      <w:r w:rsidRPr="00795FFC">
        <w:rPr>
          <w:lang w:val="en-GB"/>
        </w:rPr>
        <w:t xml:space="preserve"> round, UNEP and partners have the responsibility to:</w:t>
      </w:r>
      <w:r w:rsidR="00D4518A">
        <w:rPr>
          <w:lang w:val="en-GB"/>
        </w:rPr>
        <w:t xml:space="preserve"> (a) </w:t>
      </w:r>
      <w:r w:rsidR="001D3E19">
        <w:rPr>
          <w:lang w:val="en-GB"/>
        </w:rPr>
        <w:t>m</w:t>
      </w:r>
      <w:r w:rsidRPr="568FBF53">
        <w:rPr>
          <w:lang w:val="en-GB"/>
        </w:rPr>
        <w:t xml:space="preserve">ake the results available via the </w:t>
      </w:r>
      <w:hyperlink r:id="rId28">
        <w:r w:rsidRPr="568FBF53">
          <w:rPr>
            <w:rStyle w:val="Hyperlink"/>
            <w:lang w:val="en-GB"/>
          </w:rPr>
          <w:t>IWRM Data Portal</w:t>
        </w:r>
      </w:hyperlink>
      <w:r w:rsidRPr="568FBF53">
        <w:rPr>
          <w:lang w:val="en-GB"/>
        </w:rPr>
        <w:t xml:space="preserve"> and prepare global status reports</w:t>
      </w:r>
      <w:r w:rsidR="00D4518A">
        <w:rPr>
          <w:lang w:val="en-GB"/>
        </w:rPr>
        <w:t xml:space="preserve">; </w:t>
      </w:r>
      <w:r w:rsidR="001D3E19">
        <w:rPr>
          <w:lang w:val="en-GB"/>
        </w:rPr>
        <w:t xml:space="preserve">and </w:t>
      </w:r>
      <w:r w:rsidR="00D4518A">
        <w:rPr>
          <w:lang w:val="en-GB"/>
        </w:rPr>
        <w:t xml:space="preserve">(b) </w:t>
      </w:r>
      <w:r w:rsidR="001D3E19">
        <w:rPr>
          <w:lang w:val="en-GB"/>
        </w:rPr>
        <w:t>r</w:t>
      </w:r>
      <w:r w:rsidRPr="568FBF53">
        <w:rPr>
          <w:lang w:val="en-GB"/>
        </w:rPr>
        <w:t>eport data to the UN Statistical Division</w:t>
      </w:r>
      <w:r>
        <w:rPr>
          <w:lang w:val="en-GB"/>
        </w:rPr>
        <w:t xml:space="preserve"> </w:t>
      </w:r>
      <w:r w:rsidRPr="568FBF53">
        <w:rPr>
          <w:lang w:val="en-GB"/>
        </w:rPr>
        <w:t xml:space="preserve">for </w:t>
      </w:r>
      <w:hyperlink r:id="rId29">
        <w:r w:rsidRPr="568FBF53">
          <w:rPr>
            <w:rStyle w:val="Hyperlink"/>
            <w:lang w:val="en-GB"/>
          </w:rPr>
          <w:t>tracking progress towards the SDGs</w:t>
        </w:r>
      </w:hyperlink>
      <w:r w:rsidRPr="568FBF53">
        <w:rPr>
          <w:lang w:val="en-GB"/>
        </w:rPr>
        <w:t>.</w:t>
      </w:r>
    </w:p>
    <w:p w14:paraId="472A6072" w14:textId="77777777" w:rsidR="00C87D2F" w:rsidRPr="0077005E" w:rsidRDefault="00C87D2F" w:rsidP="00C87D2F">
      <w:pPr>
        <w:pStyle w:val="Body"/>
        <w:rPr>
          <w:lang w:val="en-US"/>
        </w:rPr>
      </w:pPr>
      <w:bookmarkStart w:id="14" w:name="_Toc219452830"/>
    </w:p>
    <w:p w14:paraId="2DB8A74B" w14:textId="479556A9" w:rsidR="00970943" w:rsidRDefault="00970943" w:rsidP="00016BEF">
      <w:pPr>
        <w:pStyle w:val="Heading1"/>
        <w:numPr>
          <w:ilvl w:val="0"/>
          <w:numId w:val="0"/>
        </w:numPr>
        <w:spacing w:after="0"/>
        <w:ind w:left="431" w:hanging="431"/>
      </w:pPr>
      <w:r w:rsidRPr="568FBF53">
        <w:t>ANNEXES</w:t>
      </w:r>
      <w:bookmarkEnd w:id="14"/>
    </w:p>
    <w:p w14:paraId="1FF6C250" w14:textId="55761F49" w:rsidR="00970943" w:rsidRDefault="00970943" w:rsidP="00016BEF">
      <w:pPr>
        <w:pStyle w:val="Heading2"/>
        <w:numPr>
          <w:ilvl w:val="0"/>
          <w:numId w:val="0"/>
        </w:numPr>
        <w:spacing w:before="0" w:after="0"/>
        <w:ind w:left="578" w:hanging="578"/>
      </w:pPr>
      <w:bookmarkStart w:id="15" w:name="_ANNEX_1:_SUMMARY"/>
      <w:bookmarkStart w:id="16" w:name="_Toc219452831"/>
      <w:bookmarkEnd w:id="15"/>
      <w:r w:rsidRPr="568FBF53">
        <w:t>ANNEX 1: SUMMARY OF OPTIONAL SUPPORTING MATERIAL</w:t>
      </w:r>
      <w:bookmarkEnd w:id="16"/>
    </w:p>
    <w:p w14:paraId="563ABAA0" w14:textId="58893746" w:rsidR="00970943" w:rsidRDefault="00970943" w:rsidP="004303E9">
      <w:pPr>
        <w:pStyle w:val="Body"/>
        <w:tabs>
          <w:tab w:val="left" w:pos="6663"/>
        </w:tabs>
        <w:jc w:val="both"/>
        <w:rPr>
          <w:lang w:val="en-GB"/>
        </w:rPr>
      </w:pPr>
      <w:r w:rsidRPr="568FBF53">
        <w:rPr>
          <w:lang w:val="en-GB"/>
        </w:rPr>
        <w:t>The following table provides a summary of optional resources that the Focal Point and colleagues may wish to pick and choose from, should they require further information, guidance, or tools. It is not necessary to read all these documents to successfully complete the 6.5.1 survey.</w:t>
      </w:r>
    </w:p>
    <w:p w14:paraId="4845217D" w14:textId="09704261" w:rsidR="00804593" w:rsidRPr="004303E9" w:rsidRDefault="00804593" w:rsidP="004303E9">
      <w:pPr>
        <w:pStyle w:val="Body"/>
        <w:tabs>
          <w:tab w:val="left" w:pos="6663"/>
        </w:tabs>
        <w:jc w:val="both"/>
        <w:rPr>
          <w:lang w:val="en-GB"/>
        </w:rPr>
      </w:pPr>
      <w:r>
        <w:rPr>
          <w:lang w:val="en-GB"/>
        </w:rPr>
        <w:t xml:space="preserve">All documents are available via the </w:t>
      </w:r>
      <w:hyperlink r:id="rId30" w:history="1">
        <w:r w:rsidRPr="00874432">
          <w:rPr>
            <w:rStyle w:val="Hyperlink"/>
            <w:lang w:val="en-GB"/>
          </w:rPr>
          <w:t>IWRM Data Portal</w:t>
        </w:r>
      </w:hyperlink>
      <w:r>
        <w:rPr>
          <w:lang w:val="en-GB"/>
        </w:rPr>
        <w:t xml:space="preserve">’s ‘data collection’ page. </w:t>
      </w:r>
    </w:p>
    <w:tbl>
      <w:tblPr>
        <w:tblStyle w:val="TableGridLight"/>
        <w:tblW w:w="8995" w:type="dxa"/>
        <w:tblLayout w:type="fixed"/>
        <w:tblLook w:val="04A0" w:firstRow="1" w:lastRow="0" w:firstColumn="1" w:lastColumn="0" w:noHBand="0" w:noVBand="1"/>
      </w:tblPr>
      <w:tblGrid>
        <w:gridCol w:w="2122"/>
        <w:gridCol w:w="53"/>
        <w:gridCol w:w="5475"/>
        <w:gridCol w:w="142"/>
        <w:gridCol w:w="1203"/>
      </w:tblGrid>
      <w:tr w:rsidR="003E6826" w:rsidRPr="003E6826" w14:paraId="35BB455D" w14:textId="77777777" w:rsidTr="6D62FBF0">
        <w:trPr>
          <w:trHeight w:val="290"/>
        </w:trPr>
        <w:tc>
          <w:tcPr>
            <w:tcW w:w="2175" w:type="dxa"/>
            <w:gridSpan w:val="2"/>
            <w:shd w:val="clear" w:color="auto" w:fill="194869" w:themeFill="accent1"/>
          </w:tcPr>
          <w:p w14:paraId="5B6F4AE3" w14:textId="448AD017" w:rsidR="00970943" w:rsidRPr="00C457FA" w:rsidRDefault="00970943" w:rsidP="568FBF53">
            <w:pPr>
              <w:spacing w:before="20" w:after="20"/>
              <w:rPr>
                <w:b/>
                <w:bCs/>
                <w:color w:val="FFFFFF" w:themeColor="background1"/>
              </w:rPr>
            </w:pPr>
            <w:r w:rsidRPr="568FBF53">
              <w:rPr>
                <w:b/>
                <w:bCs/>
                <w:color w:val="FFFFFF" w:themeColor="background1"/>
              </w:rPr>
              <w:t>Materials</w:t>
            </w:r>
          </w:p>
        </w:tc>
        <w:tc>
          <w:tcPr>
            <w:tcW w:w="5475" w:type="dxa"/>
            <w:shd w:val="clear" w:color="auto" w:fill="194869" w:themeFill="accent1"/>
          </w:tcPr>
          <w:p w14:paraId="5798BCB5" w14:textId="77777777" w:rsidR="00970943" w:rsidRPr="00C457FA" w:rsidRDefault="00970943" w:rsidP="568FBF53">
            <w:pPr>
              <w:spacing w:before="20" w:after="20"/>
              <w:rPr>
                <w:b/>
                <w:bCs/>
                <w:color w:val="20A6CA" w:themeColor="accent2"/>
              </w:rPr>
            </w:pPr>
            <w:r w:rsidRPr="568FBF53">
              <w:rPr>
                <w:b/>
                <w:bCs/>
                <w:color w:val="FFFFFF" w:themeColor="background1"/>
              </w:rPr>
              <w:t>Description</w:t>
            </w:r>
          </w:p>
        </w:tc>
        <w:tc>
          <w:tcPr>
            <w:tcW w:w="1345" w:type="dxa"/>
            <w:gridSpan w:val="2"/>
            <w:shd w:val="clear" w:color="auto" w:fill="194869" w:themeFill="accent1"/>
            <w:tcMar>
              <w:left w:w="28" w:type="dxa"/>
              <w:right w:w="28" w:type="dxa"/>
            </w:tcMar>
          </w:tcPr>
          <w:p w14:paraId="198C4838" w14:textId="227A8A78" w:rsidR="00970943" w:rsidRPr="00C457FA" w:rsidRDefault="006D2877" w:rsidP="00AE383B">
            <w:pPr>
              <w:spacing w:before="20" w:after="20"/>
              <w:jc w:val="center"/>
              <w:rPr>
                <w:b/>
                <w:bCs/>
                <w:color w:val="20A6CA" w:themeColor="accent2"/>
              </w:rPr>
            </w:pPr>
            <w:r w:rsidRPr="6D62FBF0">
              <w:rPr>
                <w:b/>
                <w:bCs/>
                <w:color w:val="FFFFFF" w:themeColor="background1"/>
              </w:rPr>
              <w:t>Languages</w:t>
            </w:r>
            <w:r w:rsidR="00970943" w:rsidRPr="6D62FBF0">
              <w:rPr>
                <w:b/>
                <w:bCs/>
                <w:color w:val="FFFFFF" w:themeColor="background1"/>
              </w:rPr>
              <w:t>*</w:t>
            </w:r>
          </w:p>
        </w:tc>
      </w:tr>
      <w:tr w:rsidR="003E6826" w:rsidRPr="003E6826" w14:paraId="7ED62F10" w14:textId="77777777" w:rsidTr="6D62FBF0">
        <w:trPr>
          <w:trHeight w:val="290"/>
        </w:trPr>
        <w:tc>
          <w:tcPr>
            <w:tcW w:w="8995" w:type="dxa"/>
            <w:gridSpan w:val="5"/>
            <w:shd w:val="clear" w:color="auto" w:fill="DBEFF1" w:themeFill="accent4" w:themeFillTint="33"/>
          </w:tcPr>
          <w:p w14:paraId="24698313" w14:textId="77777777" w:rsidR="00970943" w:rsidRPr="00C457FA" w:rsidRDefault="00970943" w:rsidP="568FBF53">
            <w:pPr>
              <w:spacing w:before="20" w:after="20"/>
              <w:rPr>
                <w:b/>
                <w:bCs/>
                <w:color w:val="12354E" w:themeColor="accent1" w:themeShade="BF"/>
              </w:rPr>
            </w:pPr>
            <w:r w:rsidRPr="568FBF53">
              <w:rPr>
                <w:b/>
                <w:bCs/>
                <w:color w:val="12354E" w:themeColor="accent1" w:themeShade="BF"/>
              </w:rPr>
              <w:t>Support to completing the survey</w:t>
            </w:r>
          </w:p>
        </w:tc>
      </w:tr>
      <w:tr w:rsidR="003E6826" w:rsidRPr="003E6826" w14:paraId="7096291A" w14:textId="77777777" w:rsidTr="6D62FBF0">
        <w:trPr>
          <w:trHeight w:val="290"/>
        </w:trPr>
        <w:tc>
          <w:tcPr>
            <w:tcW w:w="2122" w:type="dxa"/>
          </w:tcPr>
          <w:p w14:paraId="79D87DBB" w14:textId="12033E30"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Survey Overview</w:t>
            </w:r>
          </w:p>
        </w:tc>
        <w:tc>
          <w:tcPr>
            <w:tcW w:w="5670" w:type="dxa"/>
            <w:gridSpan w:val="3"/>
          </w:tcPr>
          <w:p w14:paraId="015C7822"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One page overview</w:t>
            </w:r>
          </w:p>
        </w:tc>
        <w:tc>
          <w:tcPr>
            <w:tcW w:w="1203" w:type="dxa"/>
          </w:tcPr>
          <w:p w14:paraId="537953F1"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All</w:t>
            </w:r>
          </w:p>
        </w:tc>
      </w:tr>
      <w:tr w:rsidR="003E6826" w:rsidRPr="003E6826" w14:paraId="589E6AE9" w14:textId="77777777" w:rsidTr="6D62FBF0">
        <w:trPr>
          <w:trHeight w:val="290"/>
        </w:trPr>
        <w:tc>
          <w:tcPr>
            <w:tcW w:w="2122" w:type="dxa"/>
          </w:tcPr>
          <w:p w14:paraId="4BB3CCF8" w14:textId="0D4BB07B"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Calculation Template</w:t>
            </w:r>
          </w:p>
        </w:tc>
        <w:tc>
          <w:tcPr>
            <w:tcW w:w="5670" w:type="dxa"/>
            <w:gridSpan w:val="3"/>
          </w:tcPr>
          <w:p w14:paraId="4BCB301E" w14:textId="572E8356" w:rsidR="00970943" w:rsidRPr="005E0E5D" w:rsidRDefault="00277506" w:rsidP="568FBF53">
            <w:pPr>
              <w:spacing w:before="20" w:after="20"/>
              <w:rPr>
                <w:color w:val="12354E" w:themeColor="accent1" w:themeShade="BF"/>
                <w:sz w:val="22"/>
                <w:szCs w:val="22"/>
              </w:rPr>
            </w:pPr>
            <w:r w:rsidRPr="005E0E5D">
              <w:rPr>
                <w:color w:val="12354E" w:themeColor="accent1" w:themeShade="BF"/>
                <w:sz w:val="22"/>
                <w:szCs w:val="22"/>
              </w:rPr>
              <w:t>S</w:t>
            </w:r>
            <w:r w:rsidR="00970943" w:rsidRPr="005E0E5D">
              <w:rPr>
                <w:color w:val="12354E" w:themeColor="accent1" w:themeShade="BF"/>
                <w:sz w:val="22"/>
                <w:szCs w:val="22"/>
              </w:rPr>
              <w:t>upport</w:t>
            </w:r>
            <w:r w:rsidR="006C5D69" w:rsidRPr="005E0E5D">
              <w:rPr>
                <w:color w:val="12354E" w:themeColor="accent1" w:themeShade="BF"/>
                <w:sz w:val="22"/>
                <w:szCs w:val="22"/>
              </w:rPr>
              <w:t>s</w:t>
            </w:r>
            <w:r w:rsidR="00970943" w:rsidRPr="005E0E5D">
              <w:rPr>
                <w:color w:val="12354E" w:themeColor="accent1" w:themeShade="BF"/>
                <w:sz w:val="22"/>
                <w:szCs w:val="22"/>
              </w:rPr>
              <w:t xml:space="preserve"> correct calculation of </w:t>
            </w:r>
            <w:r w:rsidR="00251CD3" w:rsidRPr="005E0E5D">
              <w:rPr>
                <w:color w:val="12354E" w:themeColor="accent1" w:themeShade="BF"/>
                <w:sz w:val="22"/>
                <w:szCs w:val="22"/>
              </w:rPr>
              <w:t xml:space="preserve">section </w:t>
            </w:r>
            <w:r w:rsidR="00970943" w:rsidRPr="005E0E5D">
              <w:rPr>
                <w:color w:val="12354E" w:themeColor="accent1" w:themeShade="BF"/>
                <w:sz w:val="22"/>
                <w:szCs w:val="22"/>
              </w:rPr>
              <w:t>and indicator scores.</w:t>
            </w:r>
          </w:p>
        </w:tc>
        <w:tc>
          <w:tcPr>
            <w:tcW w:w="1203" w:type="dxa"/>
          </w:tcPr>
          <w:p w14:paraId="4D01C990" w14:textId="31294FAB" w:rsidR="00970943" w:rsidRPr="005E0E5D" w:rsidRDefault="7B288F5A" w:rsidP="568FBF53">
            <w:pPr>
              <w:spacing w:before="20" w:after="20"/>
              <w:rPr>
                <w:color w:val="12354E" w:themeColor="accent1" w:themeShade="BF"/>
                <w:sz w:val="22"/>
                <w:szCs w:val="22"/>
              </w:rPr>
            </w:pPr>
            <w:r w:rsidRPr="0CCD0A1B">
              <w:rPr>
                <w:color w:val="12354E" w:themeColor="accent1" w:themeShade="BF"/>
                <w:sz w:val="22"/>
                <w:szCs w:val="22"/>
              </w:rPr>
              <w:t>All</w:t>
            </w:r>
          </w:p>
        </w:tc>
      </w:tr>
      <w:tr w:rsidR="003E6826" w:rsidRPr="003E6826" w14:paraId="014877F4" w14:textId="77777777" w:rsidTr="6D62FBF0">
        <w:trPr>
          <w:trHeight w:val="290"/>
        </w:trPr>
        <w:tc>
          <w:tcPr>
            <w:tcW w:w="2122" w:type="dxa"/>
          </w:tcPr>
          <w:p w14:paraId="50783F11" w14:textId="3361A7EE"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Gender checklist</w:t>
            </w:r>
          </w:p>
        </w:tc>
        <w:tc>
          <w:tcPr>
            <w:tcW w:w="5670" w:type="dxa"/>
            <w:gridSpan w:val="3"/>
          </w:tcPr>
          <w:p w14:paraId="30184186" w14:textId="5B5C661D"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 xml:space="preserve">Checklist to support discussion on status of gender mainstreaming in WRM </w:t>
            </w:r>
            <w:r w:rsidR="00D577A2" w:rsidRPr="005E0E5D">
              <w:rPr>
                <w:color w:val="12354E" w:themeColor="accent1" w:themeShade="BF"/>
                <w:sz w:val="22"/>
                <w:szCs w:val="22"/>
              </w:rPr>
              <w:t>for</w:t>
            </w:r>
            <w:r w:rsidR="00874432" w:rsidRPr="005E0E5D">
              <w:rPr>
                <w:color w:val="12354E" w:themeColor="accent1" w:themeShade="BF"/>
                <w:sz w:val="22"/>
                <w:szCs w:val="22"/>
              </w:rPr>
              <w:t xml:space="preserve"> the </w:t>
            </w:r>
            <w:r w:rsidRPr="005E0E5D">
              <w:rPr>
                <w:color w:val="12354E" w:themeColor="accent1" w:themeShade="BF"/>
                <w:sz w:val="22"/>
                <w:szCs w:val="22"/>
              </w:rPr>
              <w:t>completion of survey question 2.2d</w:t>
            </w:r>
            <w:r w:rsidR="00874432" w:rsidRPr="005E0E5D">
              <w:rPr>
                <w:color w:val="12354E" w:themeColor="accent1" w:themeShade="BF"/>
                <w:sz w:val="22"/>
                <w:szCs w:val="22"/>
              </w:rPr>
              <w:t xml:space="preserve">. Please </w:t>
            </w:r>
            <w:r w:rsidR="00B1344A" w:rsidRPr="005E0E5D">
              <w:rPr>
                <w:color w:val="12354E" w:themeColor="accent1" w:themeShade="BF"/>
                <w:sz w:val="22"/>
                <w:szCs w:val="22"/>
              </w:rPr>
              <w:t xml:space="preserve">share </w:t>
            </w:r>
            <w:r w:rsidR="00874432" w:rsidRPr="005E0E5D">
              <w:rPr>
                <w:color w:val="12354E" w:themeColor="accent1" w:themeShade="BF"/>
                <w:sz w:val="22"/>
                <w:szCs w:val="22"/>
              </w:rPr>
              <w:t>the checklist</w:t>
            </w:r>
            <w:r w:rsidR="00B1344A" w:rsidRPr="005E0E5D">
              <w:rPr>
                <w:color w:val="12354E" w:themeColor="accent1" w:themeShade="BF"/>
                <w:sz w:val="22"/>
                <w:szCs w:val="22"/>
              </w:rPr>
              <w:t xml:space="preserve"> with the Help Desk</w:t>
            </w:r>
            <w:r w:rsidR="00874432" w:rsidRPr="005E0E5D">
              <w:rPr>
                <w:color w:val="12354E" w:themeColor="accent1" w:themeShade="BF"/>
                <w:sz w:val="22"/>
                <w:szCs w:val="22"/>
              </w:rPr>
              <w:t xml:space="preserve"> if it has been used by your country.</w:t>
            </w:r>
          </w:p>
        </w:tc>
        <w:tc>
          <w:tcPr>
            <w:tcW w:w="1203" w:type="dxa"/>
          </w:tcPr>
          <w:p w14:paraId="2D967D0F"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All</w:t>
            </w:r>
          </w:p>
        </w:tc>
      </w:tr>
      <w:tr w:rsidR="003E6826" w:rsidRPr="003E6826" w14:paraId="15346611" w14:textId="77777777" w:rsidTr="6D62FBF0">
        <w:trPr>
          <w:trHeight w:val="290"/>
        </w:trPr>
        <w:tc>
          <w:tcPr>
            <w:tcW w:w="8995" w:type="dxa"/>
            <w:gridSpan w:val="5"/>
            <w:shd w:val="clear" w:color="auto" w:fill="DBEFF1" w:themeFill="accent4" w:themeFillTint="33"/>
          </w:tcPr>
          <w:p w14:paraId="542E7467" w14:textId="77777777" w:rsidR="00970943" w:rsidRPr="00C457FA" w:rsidRDefault="00970943" w:rsidP="568FBF53">
            <w:pPr>
              <w:spacing w:before="20" w:after="20"/>
              <w:rPr>
                <w:b/>
                <w:bCs/>
                <w:color w:val="12354E" w:themeColor="accent1" w:themeShade="BF"/>
              </w:rPr>
            </w:pPr>
            <w:r w:rsidRPr="568FBF53">
              <w:rPr>
                <w:b/>
                <w:bCs/>
                <w:color w:val="12354E" w:themeColor="accent1" w:themeShade="BF"/>
              </w:rPr>
              <w:t>Stakeholder Consultation and Communication</w:t>
            </w:r>
          </w:p>
        </w:tc>
      </w:tr>
      <w:tr w:rsidR="003E6826" w:rsidRPr="003E6826" w14:paraId="7DA23B2D" w14:textId="77777777" w:rsidTr="6D62FBF0">
        <w:trPr>
          <w:trHeight w:val="290"/>
        </w:trPr>
        <w:tc>
          <w:tcPr>
            <w:tcW w:w="2175" w:type="dxa"/>
            <w:gridSpan w:val="2"/>
          </w:tcPr>
          <w:p w14:paraId="163C6688" w14:textId="4F94105E" w:rsidR="00970943" w:rsidRPr="005E0E5D" w:rsidRDefault="00970943" w:rsidP="00370771">
            <w:pPr>
              <w:pStyle w:val="Body"/>
              <w:jc w:val="both"/>
              <w:rPr>
                <w:szCs w:val="22"/>
              </w:rPr>
            </w:pPr>
            <w:hyperlink r:id="rId31" w:history="1">
              <w:r w:rsidRPr="00DF5EAA">
                <w:rPr>
                  <w:rStyle w:val="Hyperlink"/>
                  <w:szCs w:val="22"/>
                  <w:lang w:val="en-GB"/>
                </w:rPr>
                <w:t>Country Summaries</w:t>
              </w:r>
            </w:hyperlink>
          </w:p>
        </w:tc>
        <w:tc>
          <w:tcPr>
            <w:tcW w:w="5617" w:type="dxa"/>
            <w:gridSpan w:val="2"/>
          </w:tcPr>
          <w:p w14:paraId="26362668" w14:textId="785AF4E5"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2-page visual summaries of results from 2017</w:t>
            </w:r>
            <w:r w:rsidR="00E73636" w:rsidRPr="005E0E5D">
              <w:rPr>
                <w:color w:val="12354E" w:themeColor="accent1" w:themeShade="BF"/>
                <w:sz w:val="22"/>
                <w:szCs w:val="22"/>
              </w:rPr>
              <w:t xml:space="preserve">, </w:t>
            </w:r>
            <w:r w:rsidRPr="005E0E5D">
              <w:rPr>
                <w:color w:val="12354E" w:themeColor="accent1" w:themeShade="BF"/>
                <w:sz w:val="22"/>
                <w:szCs w:val="22"/>
              </w:rPr>
              <w:t>2020</w:t>
            </w:r>
            <w:r w:rsidR="00E73636" w:rsidRPr="005E0E5D">
              <w:rPr>
                <w:color w:val="12354E" w:themeColor="accent1" w:themeShade="BF"/>
                <w:sz w:val="22"/>
                <w:szCs w:val="22"/>
              </w:rPr>
              <w:t xml:space="preserve"> and 2023</w:t>
            </w:r>
            <w:r w:rsidRPr="005E0E5D">
              <w:rPr>
                <w:color w:val="12354E" w:themeColor="accent1" w:themeShade="BF"/>
                <w:sz w:val="22"/>
                <w:szCs w:val="22"/>
              </w:rPr>
              <w:t xml:space="preserve"> per country.</w:t>
            </w:r>
          </w:p>
        </w:tc>
        <w:tc>
          <w:tcPr>
            <w:tcW w:w="1203" w:type="dxa"/>
          </w:tcPr>
          <w:p w14:paraId="066C23B3"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All</w:t>
            </w:r>
          </w:p>
        </w:tc>
      </w:tr>
      <w:tr w:rsidR="003E6826" w:rsidRPr="003E6826" w14:paraId="21F3C178" w14:textId="77777777" w:rsidTr="6D62FBF0">
        <w:trPr>
          <w:trHeight w:val="290"/>
        </w:trPr>
        <w:tc>
          <w:tcPr>
            <w:tcW w:w="2175" w:type="dxa"/>
            <w:gridSpan w:val="2"/>
          </w:tcPr>
          <w:p w14:paraId="53C5338B" w14:textId="4C47DF90"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Stakeholder Consultation Manual</w:t>
            </w:r>
          </w:p>
        </w:tc>
        <w:tc>
          <w:tcPr>
            <w:tcW w:w="5617" w:type="dxa"/>
            <w:gridSpan w:val="2"/>
          </w:tcPr>
          <w:p w14:paraId="0444644F"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Further information and guidance on suggested stakeholder consultation processes for SDG 6.5.1 reporting</w:t>
            </w:r>
          </w:p>
          <w:p w14:paraId="4F57419F" w14:textId="63FCADD0" w:rsidR="00A404B5" w:rsidRPr="005E0E5D" w:rsidRDefault="00A404B5" w:rsidP="568FBF53">
            <w:pPr>
              <w:spacing w:before="20" w:after="20"/>
              <w:rPr>
                <w:color w:val="12354E" w:themeColor="accent1" w:themeShade="BF"/>
                <w:sz w:val="22"/>
                <w:szCs w:val="22"/>
              </w:rPr>
            </w:pPr>
            <w:r w:rsidRPr="005E0E5D">
              <w:rPr>
                <w:color w:val="12354E" w:themeColor="accent1" w:themeShade="BF"/>
                <w:sz w:val="22"/>
                <w:szCs w:val="22"/>
              </w:rPr>
              <w:t>Annex 1 – Online IWRM Survey Tool</w:t>
            </w:r>
            <w:r w:rsidRPr="005E0E5D">
              <w:rPr>
                <w:color w:val="12354E" w:themeColor="accent1" w:themeShade="BF"/>
                <w:sz w:val="22"/>
                <w:szCs w:val="22"/>
              </w:rPr>
              <w:br/>
              <w:t xml:space="preserve">Annex 2 – Example Workshop Agenda </w:t>
            </w:r>
            <w:r w:rsidRPr="005E0E5D">
              <w:rPr>
                <w:color w:val="12354E" w:themeColor="accent1" w:themeShade="BF"/>
                <w:sz w:val="22"/>
                <w:szCs w:val="22"/>
              </w:rPr>
              <w:br/>
              <w:t xml:space="preserve">Annex 3 – Example Facilitator </w:t>
            </w:r>
            <w:proofErr w:type="spellStart"/>
            <w:r w:rsidRPr="005E0E5D">
              <w:rPr>
                <w:color w:val="12354E" w:themeColor="accent1" w:themeShade="BF"/>
                <w:sz w:val="22"/>
                <w:szCs w:val="22"/>
              </w:rPr>
              <w:t>ToR</w:t>
            </w:r>
            <w:proofErr w:type="spellEnd"/>
          </w:p>
        </w:tc>
        <w:tc>
          <w:tcPr>
            <w:tcW w:w="1203" w:type="dxa"/>
          </w:tcPr>
          <w:p w14:paraId="617D60B4"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All</w:t>
            </w:r>
          </w:p>
        </w:tc>
      </w:tr>
      <w:tr w:rsidR="003E6826" w:rsidRPr="003E6826" w14:paraId="1D5F6DA3" w14:textId="77777777" w:rsidTr="6D62FBF0">
        <w:trPr>
          <w:trHeight w:val="290"/>
        </w:trPr>
        <w:tc>
          <w:tcPr>
            <w:tcW w:w="2175" w:type="dxa"/>
            <w:gridSpan w:val="2"/>
          </w:tcPr>
          <w:p w14:paraId="5DA636F9" w14:textId="6E281966" w:rsidR="00970943" w:rsidRPr="00271910" w:rsidRDefault="0415F0DB" w:rsidP="005D3DEC">
            <w:pPr>
              <w:spacing w:before="20" w:after="20"/>
              <w:rPr>
                <w:rFonts w:cstheme="minorHAnsi"/>
                <w:color w:val="12354E" w:themeColor="accent1" w:themeShade="BF"/>
                <w:sz w:val="22"/>
                <w:szCs w:val="22"/>
              </w:rPr>
            </w:pPr>
            <w:hyperlink r:id="rId32" w:history="1">
              <w:r w:rsidRPr="00271910">
                <w:rPr>
                  <w:rStyle w:val="Hyperlink"/>
                  <w:rFonts w:cstheme="minorHAnsi"/>
                  <w:color w:val="12354E" w:themeColor="accent1" w:themeShade="BF"/>
                  <w:sz w:val="22"/>
                  <w:szCs w:val="22"/>
                  <w:lang w:val="da-DK"/>
                </w:rPr>
                <w:t>SDG 6.5.1 Reporting Training</w:t>
              </w:r>
            </w:hyperlink>
            <w:r w:rsidRPr="00271910">
              <w:rPr>
                <w:rFonts w:cstheme="minorHAnsi"/>
                <w:color w:val="12354E" w:themeColor="accent1" w:themeShade="BF"/>
                <w:sz w:val="22"/>
                <w:szCs w:val="22"/>
                <w:lang w:val="da-DK"/>
              </w:rPr>
              <w:t xml:space="preserve"> </w:t>
            </w:r>
          </w:p>
        </w:tc>
        <w:tc>
          <w:tcPr>
            <w:tcW w:w="5617" w:type="dxa"/>
            <w:gridSpan w:val="2"/>
          </w:tcPr>
          <w:p w14:paraId="4C97DED9" w14:textId="22454BD8"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Self-paced, free, online course (4-6</w:t>
            </w:r>
            <w:r w:rsidR="00585C54" w:rsidRPr="005E0E5D">
              <w:rPr>
                <w:color w:val="12354E" w:themeColor="accent1" w:themeShade="BF"/>
                <w:sz w:val="22"/>
                <w:szCs w:val="22"/>
              </w:rPr>
              <w:t xml:space="preserve"> </w:t>
            </w:r>
            <w:r w:rsidRPr="005E0E5D">
              <w:rPr>
                <w:color w:val="12354E" w:themeColor="accent1" w:themeShade="BF"/>
                <w:sz w:val="22"/>
                <w:szCs w:val="22"/>
              </w:rPr>
              <w:t>hrs commitment)</w:t>
            </w:r>
          </w:p>
        </w:tc>
        <w:tc>
          <w:tcPr>
            <w:tcW w:w="1203" w:type="dxa"/>
          </w:tcPr>
          <w:p w14:paraId="794D165A" w14:textId="77777777" w:rsidR="00970943" w:rsidRPr="005E0E5D" w:rsidRDefault="00970943" w:rsidP="568FBF53">
            <w:pPr>
              <w:spacing w:before="20" w:after="20"/>
              <w:rPr>
                <w:color w:val="12354E" w:themeColor="accent1" w:themeShade="BF"/>
                <w:sz w:val="22"/>
                <w:szCs w:val="22"/>
              </w:rPr>
            </w:pPr>
            <w:r w:rsidRPr="005E0E5D">
              <w:rPr>
                <w:color w:val="12354E" w:themeColor="accent1" w:themeShade="BF"/>
                <w:sz w:val="22"/>
                <w:szCs w:val="22"/>
              </w:rPr>
              <w:t>EN, ES, FR</w:t>
            </w:r>
          </w:p>
        </w:tc>
      </w:tr>
    </w:tbl>
    <w:p w14:paraId="2647C3C8" w14:textId="50572E7E" w:rsidR="00970943" w:rsidRPr="008F4822" w:rsidRDefault="00970943" w:rsidP="00271910">
      <w:pPr>
        <w:pStyle w:val="Body"/>
        <w:rPr>
          <w:szCs w:val="22"/>
          <w:lang w:val="en-GB"/>
        </w:rPr>
      </w:pPr>
      <w:r w:rsidRPr="008F4822">
        <w:rPr>
          <w:szCs w:val="22"/>
          <w:lang w:val="en-GB"/>
        </w:rPr>
        <w:t>* All materials are available in English, French, Spanish, Arabic, Portuguese, Russian, and Chinese, unless stated otherwise.</w:t>
      </w:r>
    </w:p>
    <w:p w14:paraId="6E01AF46" w14:textId="354E8608" w:rsidR="000A7B1C" w:rsidRDefault="000A7B1C">
      <w:pPr>
        <w:rPr>
          <w:color w:val="12354E" w:themeColor="accent1" w:themeShade="BF"/>
          <w:sz w:val="22"/>
          <w:szCs w:val="22"/>
        </w:rPr>
      </w:pPr>
      <w:r>
        <w:rPr>
          <w:szCs w:val="22"/>
        </w:rPr>
        <w:br w:type="page"/>
      </w:r>
    </w:p>
    <w:p w14:paraId="2078AB50" w14:textId="77777777" w:rsidR="000A7B1C" w:rsidRPr="008F4822" w:rsidRDefault="000A7B1C" w:rsidP="000A7B1C">
      <w:pPr>
        <w:pStyle w:val="Body"/>
        <w:rPr>
          <w:szCs w:val="22"/>
          <w:lang w:val="en-GB"/>
        </w:rPr>
      </w:pPr>
    </w:p>
    <w:p w14:paraId="05359B0A" w14:textId="554508C0" w:rsidR="00FE0727" w:rsidRDefault="00FE0727" w:rsidP="00FE0727">
      <w:pPr>
        <w:pStyle w:val="Heading2"/>
        <w:numPr>
          <w:ilvl w:val="0"/>
          <w:numId w:val="0"/>
        </w:numPr>
        <w:ind w:left="576" w:hanging="576"/>
      </w:pPr>
      <w:bookmarkStart w:id="17" w:name="_ANNEX_2:_6.5.1"/>
      <w:bookmarkStart w:id="18" w:name="_Toc219452832"/>
      <w:bookmarkEnd w:id="17"/>
      <w:r>
        <w:t>ANNEX 2: 6.5.1 QUESTION LINKS TO OTHER SDG TARGETS</w:t>
      </w:r>
      <w:bookmarkEnd w:id="18"/>
    </w:p>
    <w:p w14:paraId="74897D4F" w14:textId="0B0FAACC" w:rsidR="00FE0727" w:rsidRPr="00E03299" w:rsidRDefault="00FE0727" w:rsidP="00FE0727">
      <w:pPr>
        <w:spacing w:after="120"/>
        <w:rPr>
          <w:color w:val="12354E" w:themeColor="accent1" w:themeShade="BF"/>
          <w:sz w:val="22"/>
          <w:szCs w:val="22"/>
        </w:rPr>
      </w:pPr>
      <w:r w:rsidRPr="00E03299">
        <w:rPr>
          <w:color w:val="12354E" w:themeColor="accent1" w:themeShade="BF"/>
          <w:sz w:val="22"/>
          <w:szCs w:val="22"/>
        </w:rPr>
        <w:t xml:space="preserve">Involvement of other SDG indicator Focal Points is </w:t>
      </w:r>
      <w:r w:rsidR="00CC78E2" w:rsidRPr="00E03299">
        <w:rPr>
          <w:color w:val="12354E" w:themeColor="accent1" w:themeShade="BF"/>
          <w:sz w:val="22"/>
          <w:szCs w:val="22"/>
        </w:rPr>
        <w:t>recommended</w:t>
      </w:r>
      <w:r w:rsidRPr="00E03299">
        <w:rPr>
          <w:color w:val="12354E" w:themeColor="accent1" w:themeShade="BF"/>
          <w:sz w:val="22"/>
          <w:szCs w:val="22"/>
        </w:rPr>
        <w:t xml:space="preserve"> for the following questions. </w:t>
      </w:r>
    </w:p>
    <w:tbl>
      <w:tblPr>
        <w:tblW w:w="89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4A0" w:firstRow="1" w:lastRow="0" w:firstColumn="1" w:lastColumn="0" w:noHBand="0" w:noVBand="1"/>
      </w:tblPr>
      <w:tblGrid>
        <w:gridCol w:w="2263"/>
        <w:gridCol w:w="6729"/>
      </w:tblGrid>
      <w:tr w:rsidR="00FE0727" w:rsidRPr="00C97B93" w14:paraId="4482992C" w14:textId="77777777" w:rsidTr="00B170EC">
        <w:trPr>
          <w:trHeight w:val="294"/>
        </w:trPr>
        <w:tc>
          <w:tcPr>
            <w:tcW w:w="2263" w:type="dxa"/>
            <w:shd w:val="clear" w:color="auto" w:fill="194869" w:themeFill="accent1"/>
            <w:vAlign w:val="center"/>
            <w:hideMark/>
          </w:tcPr>
          <w:p w14:paraId="5999461F" w14:textId="77777777" w:rsidR="00FE0727" w:rsidRPr="00C97B93" w:rsidRDefault="00FE0727" w:rsidP="00B170EC">
            <w:pPr>
              <w:spacing w:before="60" w:after="60"/>
              <w:textAlignment w:val="baseline"/>
              <w:rPr>
                <w:rFonts w:ascii="Segoe UI" w:eastAsia="Times New Roman" w:hAnsi="Segoe UI" w:cs="Segoe UI"/>
                <w:color w:val="20A6CA" w:themeColor="accent2"/>
                <w:sz w:val="21"/>
                <w:szCs w:val="21"/>
              </w:rPr>
            </w:pPr>
            <w:r w:rsidRPr="00C97B93">
              <w:rPr>
                <w:rFonts w:ascii="Calibri" w:eastAsia="Times New Roman" w:hAnsi="Calibri" w:cs="Calibri"/>
                <w:b/>
                <w:bCs/>
                <w:color w:val="FFFFFF" w:themeColor="background1"/>
                <w:sz w:val="21"/>
                <w:szCs w:val="21"/>
              </w:rPr>
              <w:t>Survey question</w:t>
            </w:r>
            <w:r w:rsidRPr="00C97B93">
              <w:rPr>
                <w:rFonts w:ascii="Calibri" w:eastAsia="Times New Roman" w:hAnsi="Calibri" w:cs="Calibri"/>
                <w:color w:val="FFFFFF" w:themeColor="background1"/>
                <w:sz w:val="21"/>
                <w:szCs w:val="21"/>
              </w:rPr>
              <w:t> </w:t>
            </w:r>
          </w:p>
        </w:tc>
        <w:tc>
          <w:tcPr>
            <w:tcW w:w="6729" w:type="dxa"/>
            <w:shd w:val="clear" w:color="auto" w:fill="194869" w:themeFill="accent1"/>
            <w:vAlign w:val="center"/>
            <w:hideMark/>
          </w:tcPr>
          <w:p w14:paraId="6823E7DB" w14:textId="4279FC8D" w:rsidR="00FE0727" w:rsidRPr="00C97B93" w:rsidRDefault="00FE0727" w:rsidP="00B170EC">
            <w:pPr>
              <w:spacing w:before="60" w:after="60"/>
              <w:textAlignment w:val="baseline"/>
              <w:rPr>
                <w:rFonts w:ascii="Segoe UI" w:eastAsia="Times New Roman" w:hAnsi="Segoe UI" w:cs="Segoe UI"/>
                <w:color w:val="20A6CA" w:themeColor="accent2"/>
                <w:sz w:val="21"/>
                <w:szCs w:val="21"/>
              </w:rPr>
            </w:pPr>
            <w:r w:rsidRPr="00C97B93">
              <w:rPr>
                <w:rFonts w:ascii="Calibri" w:eastAsia="Times New Roman" w:hAnsi="Calibri" w:cs="Calibri"/>
                <w:b/>
                <w:bCs/>
                <w:color w:val="FFFFFF" w:themeColor="background1"/>
                <w:sz w:val="21"/>
                <w:szCs w:val="21"/>
              </w:rPr>
              <w:t>Link to SDG target</w:t>
            </w:r>
            <w:r w:rsidRPr="00C97B93">
              <w:rPr>
                <w:rFonts w:ascii="Calibri" w:eastAsia="Times New Roman" w:hAnsi="Calibri" w:cs="Calibri"/>
                <w:color w:val="FFFFFF" w:themeColor="background1"/>
                <w:sz w:val="21"/>
                <w:szCs w:val="21"/>
              </w:rPr>
              <w:t> </w:t>
            </w:r>
          </w:p>
        </w:tc>
      </w:tr>
      <w:tr w:rsidR="00FE0727" w:rsidRPr="00C97B93" w14:paraId="6A537318" w14:textId="77777777" w:rsidTr="00B170EC">
        <w:trPr>
          <w:trHeight w:val="294"/>
        </w:trPr>
        <w:tc>
          <w:tcPr>
            <w:tcW w:w="2263" w:type="dxa"/>
            <w:vAlign w:val="center"/>
          </w:tcPr>
          <w:p w14:paraId="613AF3F1" w14:textId="77777777" w:rsidR="00FE0727" w:rsidRPr="00C97B93" w:rsidRDefault="00FE0727" w:rsidP="00B170EC">
            <w:pPr>
              <w:spacing w:before="60" w:after="60"/>
              <w:textAlignment w:val="baseline"/>
              <w:rPr>
                <w:rFonts w:ascii="Calibri" w:eastAsia="Times New Roman" w:hAnsi="Calibri" w:cs="Calibri"/>
                <w:color w:val="12354E" w:themeColor="accent1" w:themeShade="BF"/>
                <w:sz w:val="21"/>
                <w:szCs w:val="21"/>
              </w:rPr>
            </w:pPr>
            <w:r w:rsidRPr="00C97B93">
              <w:rPr>
                <w:rFonts w:ascii="Calibri" w:eastAsia="Times New Roman" w:hAnsi="Calibri" w:cs="Calibri"/>
                <w:color w:val="12354E" w:themeColor="accent1" w:themeShade="BF"/>
                <w:sz w:val="21"/>
                <w:szCs w:val="21"/>
              </w:rPr>
              <w:t>1.2c, 2.2e, 3.2d, 4.1c</w:t>
            </w:r>
          </w:p>
        </w:tc>
        <w:tc>
          <w:tcPr>
            <w:tcW w:w="6729" w:type="dxa"/>
            <w:vAlign w:val="center"/>
          </w:tcPr>
          <w:p w14:paraId="2DAD3EEA" w14:textId="77777777" w:rsidR="00FE0727" w:rsidRPr="00C97B93" w:rsidRDefault="00FE0727" w:rsidP="00B170EC">
            <w:pPr>
              <w:spacing w:before="60" w:after="60"/>
              <w:textAlignment w:val="baseline"/>
              <w:rPr>
                <w:color w:val="12354E" w:themeColor="accent1" w:themeShade="BF"/>
                <w:sz w:val="21"/>
                <w:szCs w:val="21"/>
              </w:rPr>
            </w:pPr>
            <w:r w:rsidRPr="00C97B93">
              <w:rPr>
                <w:color w:val="12354E" w:themeColor="accent1" w:themeShade="BF"/>
                <w:sz w:val="21"/>
                <w:szCs w:val="21"/>
              </w:rPr>
              <w:t xml:space="preserve">Transboundary questions linked to SDG </w:t>
            </w:r>
            <w:hyperlink r:id="rId33">
              <w:r w:rsidRPr="00C97B93">
                <w:rPr>
                  <w:rStyle w:val="Hyperlink"/>
                  <w:color w:val="92D050"/>
                  <w:sz w:val="21"/>
                  <w:szCs w:val="21"/>
                </w:rPr>
                <w:t>indicator 6.5.2</w:t>
              </w:r>
            </w:hyperlink>
            <w:r w:rsidRPr="00C97B93">
              <w:rPr>
                <w:color w:val="12354E" w:themeColor="accent1" w:themeShade="BF"/>
                <w:sz w:val="21"/>
                <w:szCs w:val="21"/>
              </w:rPr>
              <w:t xml:space="preserve">. </w:t>
            </w:r>
          </w:p>
        </w:tc>
      </w:tr>
      <w:tr w:rsidR="00FE0727" w:rsidRPr="00C97B93" w14:paraId="2BC45DEC" w14:textId="77777777" w:rsidTr="00B170EC">
        <w:trPr>
          <w:trHeight w:val="294"/>
        </w:trPr>
        <w:tc>
          <w:tcPr>
            <w:tcW w:w="2263" w:type="dxa"/>
            <w:vAlign w:val="center"/>
            <w:hideMark/>
          </w:tcPr>
          <w:p w14:paraId="1E7342A0"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2.2b local level public participation </w:t>
            </w:r>
          </w:p>
        </w:tc>
        <w:tc>
          <w:tcPr>
            <w:tcW w:w="6729" w:type="dxa"/>
            <w:vAlign w:val="center"/>
            <w:hideMark/>
          </w:tcPr>
          <w:p w14:paraId="46CFC4F9"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hyperlink r:id="rId34">
              <w:r w:rsidRPr="00C97B93">
                <w:rPr>
                  <w:rFonts w:ascii="Calibri" w:eastAsia="Times New Roman" w:hAnsi="Calibri" w:cs="Calibri"/>
                  <w:color w:val="92D050"/>
                  <w:sz w:val="21"/>
                  <w:szCs w:val="21"/>
                  <w:u w:val="single"/>
                </w:rPr>
                <w:t>6.b</w:t>
              </w:r>
            </w:hyperlink>
            <w:r w:rsidRPr="00C97B93">
              <w:rPr>
                <w:rFonts w:ascii="Calibri" w:eastAsia="Times New Roman" w:hAnsi="Calibri" w:cs="Calibri"/>
                <w:color w:val="92D050"/>
                <w:sz w:val="21"/>
                <w:szCs w:val="21"/>
              </w:rPr>
              <w:t>:</w:t>
            </w:r>
            <w:r w:rsidRPr="00C97B93">
              <w:rPr>
                <w:rFonts w:ascii="Calibri" w:eastAsia="Times New Roman" w:hAnsi="Calibri" w:cs="Calibri"/>
                <w:color w:val="12354E" w:themeColor="accent1" w:themeShade="BF"/>
                <w:sz w:val="21"/>
                <w:szCs w:val="21"/>
              </w:rPr>
              <w:t xml:space="preserve"> Support and strengthen the participation of local communities in improving water and sanitation management. </w:t>
            </w:r>
          </w:p>
        </w:tc>
      </w:tr>
      <w:tr w:rsidR="00FE0727" w:rsidRPr="00C97B93" w14:paraId="52D4E212" w14:textId="77777777" w:rsidTr="00B170EC">
        <w:trPr>
          <w:trHeight w:val="294"/>
        </w:trPr>
        <w:tc>
          <w:tcPr>
            <w:tcW w:w="2263" w:type="dxa"/>
            <w:vAlign w:val="center"/>
            <w:hideMark/>
          </w:tcPr>
          <w:p w14:paraId="2753FBEE"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2.2d gender in laws/plans or similar </w:t>
            </w:r>
          </w:p>
        </w:tc>
        <w:tc>
          <w:tcPr>
            <w:tcW w:w="6729" w:type="dxa"/>
            <w:vAlign w:val="center"/>
            <w:hideMark/>
          </w:tcPr>
          <w:p w14:paraId="5BF4A117"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 xml:space="preserve">Question A14.a in the </w:t>
            </w:r>
            <w:hyperlink r:id="rId35">
              <w:r w:rsidRPr="00C97B93">
                <w:rPr>
                  <w:rStyle w:val="Hyperlink"/>
                  <w:rFonts w:ascii="Calibri" w:eastAsia="Times New Roman" w:hAnsi="Calibri" w:cs="Calibri"/>
                  <w:color w:val="92D050"/>
                  <w:sz w:val="21"/>
                  <w:szCs w:val="21"/>
                </w:rPr>
                <w:t>GLAAS</w:t>
              </w:r>
            </w:hyperlink>
            <w:r w:rsidRPr="00C97B93">
              <w:rPr>
                <w:rFonts w:ascii="Calibri" w:eastAsia="Times New Roman" w:hAnsi="Calibri" w:cs="Calibri"/>
                <w:color w:val="12354E" w:themeColor="accent1" w:themeShade="BF"/>
                <w:sz w:val="21"/>
                <w:szCs w:val="21"/>
              </w:rPr>
              <w:t xml:space="preserve"> survey. </w:t>
            </w:r>
            <w:hyperlink r:id="rId36" w:anchor="targets_and_indicators">
              <w:r w:rsidRPr="00C97B93">
                <w:rPr>
                  <w:rStyle w:val="Hyperlink"/>
                  <w:rFonts w:ascii="Calibri" w:eastAsia="Times New Roman" w:hAnsi="Calibri" w:cs="Calibri"/>
                  <w:color w:val="92D050"/>
                  <w:sz w:val="21"/>
                  <w:szCs w:val="21"/>
                </w:rPr>
                <w:t>5.5</w:t>
              </w:r>
            </w:hyperlink>
            <w:r w:rsidRPr="00C97B93">
              <w:rPr>
                <w:rFonts w:ascii="Calibri" w:eastAsia="Times New Roman" w:hAnsi="Calibri" w:cs="Calibri"/>
                <w:color w:val="12354E" w:themeColor="accent1" w:themeShade="BF"/>
                <w:sz w:val="21"/>
                <w:szCs w:val="21"/>
              </w:rPr>
              <w:t>: Ensure women’s full and effective participation and equal opportunities for leadership at all levels ... in political, economic and public life.</w:t>
            </w:r>
          </w:p>
        </w:tc>
      </w:tr>
      <w:tr w:rsidR="00FE0727" w:rsidRPr="00C97B93" w14:paraId="24B23CE6" w14:textId="77777777" w:rsidTr="00B170EC">
        <w:trPr>
          <w:trHeight w:val="294"/>
        </w:trPr>
        <w:tc>
          <w:tcPr>
            <w:tcW w:w="2263" w:type="dxa"/>
            <w:vAlign w:val="center"/>
            <w:hideMark/>
          </w:tcPr>
          <w:p w14:paraId="4BF1A9E6"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3.1a national monitoring of water availability </w:t>
            </w:r>
          </w:p>
        </w:tc>
        <w:tc>
          <w:tcPr>
            <w:tcW w:w="6729" w:type="dxa"/>
            <w:vMerge w:val="restart"/>
            <w:vAlign w:val="center"/>
            <w:hideMark/>
          </w:tcPr>
          <w:p w14:paraId="110FC2D6"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hyperlink r:id="rId37">
              <w:r w:rsidRPr="00C97B93">
                <w:rPr>
                  <w:rFonts w:ascii="Calibri" w:eastAsia="Times New Roman" w:hAnsi="Calibri" w:cs="Calibri"/>
                  <w:color w:val="92D050"/>
                  <w:sz w:val="21"/>
                  <w:szCs w:val="21"/>
                  <w:u w:val="single"/>
                </w:rPr>
                <w:t>6.4</w:t>
              </w:r>
            </w:hyperlink>
            <w:r w:rsidRPr="00C97B93">
              <w:rPr>
                <w:rFonts w:ascii="Calibri" w:eastAsia="Times New Roman" w:hAnsi="Calibri" w:cs="Calibri"/>
                <w:color w:val="92D050"/>
                <w:sz w:val="21"/>
                <w:szCs w:val="21"/>
              </w:rPr>
              <w:t xml:space="preserve">: </w:t>
            </w:r>
            <w:r w:rsidRPr="00C97B93">
              <w:rPr>
                <w:rFonts w:ascii="Calibri" w:eastAsia="Times New Roman" w:hAnsi="Calibri" w:cs="Calibri"/>
                <w:color w:val="12354E" w:themeColor="accent1" w:themeShade="BF"/>
                <w:sz w:val="21"/>
                <w:szCs w:val="21"/>
              </w:rPr>
              <w:t>By 2030, substantially increase water-use efficiency across all sectors and ensure sustainable withdrawals and supply of freshwater to address water scarcity and substantially reduce the number of people suffering from water scarcity. </w:t>
            </w:r>
          </w:p>
        </w:tc>
      </w:tr>
      <w:tr w:rsidR="00FE0727" w:rsidRPr="00C97B93" w14:paraId="23F68169" w14:textId="77777777" w:rsidTr="00B170EC">
        <w:trPr>
          <w:trHeight w:val="294"/>
        </w:trPr>
        <w:tc>
          <w:tcPr>
            <w:tcW w:w="2263" w:type="dxa"/>
            <w:vAlign w:val="center"/>
            <w:hideMark/>
          </w:tcPr>
          <w:p w14:paraId="64D6FD06"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3.1b sustainable and efficient water use management </w:t>
            </w:r>
          </w:p>
        </w:tc>
        <w:tc>
          <w:tcPr>
            <w:tcW w:w="6729" w:type="dxa"/>
            <w:vMerge/>
            <w:vAlign w:val="center"/>
            <w:hideMark/>
          </w:tcPr>
          <w:p w14:paraId="26B5B53C" w14:textId="77777777" w:rsidR="00FE0727" w:rsidRPr="00C97B93" w:rsidRDefault="00FE0727" w:rsidP="00B170EC">
            <w:pPr>
              <w:spacing w:before="60" w:after="60"/>
              <w:rPr>
                <w:rFonts w:ascii="Segoe UI" w:eastAsia="Times New Roman" w:hAnsi="Segoe UI" w:cs="Segoe UI"/>
                <w:color w:val="12354E" w:themeColor="accent1" w:themeShade="BF"/>
                <w:sz w:val="21"/>
                <w:szCs w:val="21"/>
                <w:lang w:eastAsia="en-GB"/>
              </w:rPr>
            </w:pPr>
          </w:p>
        </w:tc>
      </w:tr>
      <w:tr w:rsidR="00FE0727" w:rsidRPr="00C97B93" w14:paraId="252D6FEE" w14:textId="77777777" w:rsidTr="00B170EC">
        <w:trPr>
          <w:trHeight w:val="294"/>
        </w:trPr>
        <w:tc>
          <w:tcPr>
            <w:tcW w:w="2263" w:type="dxa"/>
            <w:vAlign w:val="center"/>
            <w:hideMark/>
          </w:tcPr>
          <w:p w14:paraId="42CF5EFA"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3.1c pollution control </w:t>
            </w:r>
          </w:p>
        </w:tc>
        <w:tc>
          <w:tcPr>
            <w:tcW w:w="6729" w:type="dxa"/>
            <w:vAlign w:val="center"/>
            <w:hideMark/>
          </w:tcPr>
          <w:p w14:paraId="287B81C0"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hyperlink r:id="rId38">
              <w:r w:rsidRPr="00C97B93">
                <w:rPr>
                  <w:rFonts w:ascii="Calibri" w:eastAsia="Times New Roman" w:hAnsi="Calibri" w:cs="Calibri"/>
                  <w:color w:val="92D050"/>
                  <w:sz w:val="21"/>
                  <w:szCs w:val="21"/>
                  <w:u w:val="single"/>
                </w:rPr>
                <w:t>6.3</w:t>
              </w:r>
            </w:hyperlink>
            <w:r w:rsidRPr="00C97B93">
              <w:rPr>
                <w:rFonts w:ascii="Calibri" w:eastAsia="Times New Roman" w:hAnsi="Calibri" w:cs="Calibri"/>
                <w:color w:val="92D050"/>
                <w:sz w:val="21"/>
                <w:szCs w:val="21"/>
              </w:rPr>
              <w:t xml:space="preserve">: </w:t>
            </w:r>
            <w:r w:rsidRPr="00C97B93">
              <w:rPr>
                <w:rFonts w:ascii="Calibri" w:eastAsia="Times New Roman" w:hAnsi="Calibri" w:cs="Calibri"/>
                <w:color w:val="12354E" w:themeColor="accent1" w:themeShade="BF"/>
                <w:sz w:val="21"/>
                <w:szCs w:val="21"/>
              </w:rPr>
              <w:t>By 2030, improve water quality by reducing pollution, eliminating dumping and minimizing release of hazardous chemicals and materials, halving the proportion of untreated wastewater and substantially increasing recycling and safe reuse globally. </w:t>
            </w:r>
          </w:p>
        </w:tc>
      </w:tr>
      <w:tr w:rsidR="00FE0727" w:rsidRPr="00C97B93" w14:paraId="307AB048" w14:textId="77777777" w:rsidTr="00B170EC">
        <w:trPr>
          <w:trHeight w:val="294"/>
        </w:trPr>
        <w:tc>
          <w:tcPr>
            <w:tcW w:w="2263" w:type="dxa"/>
            <w:vAlign w:val="center"/>
            <w:hideMark/>
          </w:tcPr>
          <w:p w14:paraId="5B2BB462"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3.1d management of water-related ecosystems </w:t>
            </w:r>
          </w:p>
        </w:tc>
        <w:tc>
          <w:tcPr>
            <w:tcW w:w="6729" w:type="dxa"/>
            <w:vAlign w:val="center"/>
            <w:hideMark/>
          </w:tcPr>
          <w:p w14:paraId="36B3F2E9"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hyperlink r:id="rId39">
              <w:r w:rsidRPr="00C97B93">
                <w:rPr>
                  <w:rFonts w:ascii="Calibri" w:eastAsia="Times New Roman" w:hAnsi="Calibri" w:cs="Calibri"/>
                  <w:color w:val="92D050"/>
                  <w:sz w:val="21"/>
                  <w:szCs w:val="21"/>
                  <w:u w:val="single"/>
                </w:rPr>
                <w:t>6.6</w:t>
              </w:r>
            </w:hyperlink>
            <w:r w:rsidRPr="00C97B93">
              <w:rPr>
                <w:rFonts w:ascii="Calibri" w:eastAsia="Times New Roman" w:hAnsi="Calibri" w:cs="Calibri"/>
                <w:color w:val="92D050"/>
                <w:sz w:val="21"/>
                <w:szCs w:val="21"/>
              </w:rPr>
              <w:t xml:space="preserve">: </w:t>
            </w:r>
            <w:r w:rsidRPr="00C97B93">
              <w:rPr>
                <w:rFonts w:ascii="Calibri" w:eastAsia="Times New Roman" w:hAnsi="Calibri" w:cs="Calibri"/>
                <w:color w:val="12354E" w:themeColor="accent1" w:themeShade="BF"/>
                <w:sz w:val="21"/>
                <w:szCs w:val="21"/>
              </w:rPr>
              <w:t>By 2020, protect and restore water-related ecosystems, including mountains, forests, wetlands, rivers, aquifers and lakes. </w:t>
            </w:r>
          </w:p>
        </w:tc>
      </w:tr>
      <w:tr w:rsidR="00FE0727" w:rsidRPr="00C97B93" w14:paraId="103F08F7" w14:textId="77777777" w:rsidTr="00B170EC">
        <w:trPr>
          <w:trHeight w:val="294"/>
        </w:trPr>
        <w:tc>
          <w:tcPr>
            <w:tcW w:w="2263" w:type="dxa"/>
            <w:vAlign w:val="center"/>
            <w:hideMark/>
          </w:tcPr>
          <w:p w14:paraId="6DC9999D"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r w:rsidRPr="00C97B93">
              <w:rPr>
                <w:rFonts w:ascii="Calibri" w:eastAsia="Times New Roman" w:hAnsi="Calibri" w:cs="Calibri"/>
                <w:color w:val="12354E" w:themeColor="accent1" w:themeShade="BF"/>
                <w:sz w:val="21"/>
                <w:szCs w:val="21"/>
              </w:rPr>
              <w:t>3.1e management instruments to reduce impacts of water-related disasters </w:t>
            </w:r>
          </w:p>
        </w:tc>
        <w:tc>
          <w:tcPr>
            <w:tcW w:w="6729" w:type="dxa"/>
            <w:vAlign w:val="center"/>
            <w:hideMark/>
          </w:tcPr>
          <w:p w14:paraId="6A17059B" w14:textId="77777777" w:rsidR="00FE0727" w:rsidRPr="00C97B93" w:rsidRDefault="00FE0727" w:rsidP="00B170EC">
            <w:pPr>
              <w:spacing w:before="60" w:after="60"/>
              <w:textAlignment w:val="baseline"/>
              <w:rPr>
                <w:rFonts w:ascii="Segoe UI" w:eastAsia="Times New Roman" w:hAnsi="Segoe UI" w:cs="Segoe UI"/>
                <w:color w:val="12354E" w:themeColor="accent1" w:themeShade="BF"/>
                <w:sz w:val="21"/>
                <w:szCs w:val="21"/>
              </w:rPr>
            </w:pPr>
            <w:hyperlink r:id="rId40">
              <w:r w:rsidRPr="00C97B93">
                <w:rPr>
                  <w:rFonts w:ascii="Calibri" w:eastAsia="Times New Roman" w:hAnsi="Calibri" w:cs="Calibri"/>
                  <w:color w:val="92D050"/>
                  <w:sz w:val="21"/>
                  <w:szCs w:val="21"/>
                  <w:u w:val="single"/>
                </w:rPr>
                <w:t>11.5</w:t>
              </w:r>
            </w:hyperlink>
            <w:r w:rsidRPr="00C97B93">
              <w:rPr>
                <w:rFonts w:ascii="Calibri" w:eastAsia="Times New Roman" w:hAnsi="Calibri" w:cs="Calibri"/>
                <w:color w:val="92D050"/>
                <w:sz w:val="21"/>
                <w:szCs w:val="21"/>
              </w:rPr>
              <w:t xml:space="preserve">: </w:t>
            </w:r>
            <w:r w:rsidRPr="00C97B93">
              <w:rPr>
                <w:rFonts w:ascii="Calibri" w:eastAsia="Times New Roman" w:hAnsi="Calibri" w:cs="Calibri"/>
                <w:color w:val="12354E" w:themeColor="accent1" w:themeShade="BF"/>
                <w:sz w:val="21"/>
                <w:szCs w:val="21"/>
              </w:rPr>
              <w:t>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 </w:t>
            </w:r>
          </w:p>
        </w:tc>
      </w:tr>
    </w:tbl>
    <w:p w14:paraId="1E312F35" w14:textId="257D8661" w:rsidR="004173BC" w:rsidRPr="0077005E" w:rsidRDefault="004173BC" w:rsidP="00E04FE2">
      <w:pPr>
        <w:pStyle w:val="Body"/>
        <w:rPr>
          <w:lang w:val="en-US"/>
        </w:rPr>
      </w:pPr>
      <w:bookmarkStart w:id="19" w:name="_ANNEX_2:_DIFFERENCES"/>
      <w:bookmarkEnd w:id="19"/>
    </w:p>
    <w:p w14:paraId="5B9901CA" w14:textId="77777777" w:rsidR="004173BC" w:rsidRDefault="004173BC">
      <w:pPr>
        <w:rPr>
          <w:b/>
          <w:bCs/>
          <w:color w:val="20A6CA" w:themeColor="accent2"/>
          <w:sz w:val="36"/>
          <w:szCs w:val="36"/>
        </w:rPr>
      </w:pPr>
      <w:r>
        <w:br w:type="page"/>
      </w:r>
    </w:p>
    <w:p w14:paraId="1981D964" w14:textId="77777777" w:rsidR="004173BC" w:rsidRPr="0077005E" w:rsidRDefault="004173BC" w:rsidP="00E04FE2">
      <w:pPr>
        <w:pStyle w:val="Body"/>
        <w:rPr>
          <w:lang w:val="en-US"/>
        </w:rPr>
      </w:pPr>
    </w:p>
    <w:p w14:paraId="0121E25B" w14:textId="4F0216CA" w:rsidR="00132518" w:rsidRDefault="00970943" w:rsidP="00E676F0">
      <w:pPr>
        <w:pStyle w:val="Heading2"/>
        <w:numPr>
          <w:ilvl w:val="0"/>
          <w:numId w:val="0"/>
        </w:numPr>
        <w:ind w:left="576" w:hanging="576"/>
      </w:pPr>
      <w:bookmarkStart w:id="20" w:name="_ANNEX_3:_SURVEY"/>
      <w:bookmarkStart w:id="21" w:name="_Toc219452833"/>
      <w:bookmarkEnd w:id="20"/>
      <w:r>
        <w:t xml:space="preserve">ANNEX </w:t>
      </w:r>
      <w:r w:rsidR="00FE0727">
        <w:t>3</w:t>
      </w:r>
      <w:r>
        <w:t xml:space="preserve">: </w:t>
      </w:r>
      <w:r w:rsidR="00E676F0">
        <w:t xml:space="preserve">SURVEY </w:t>
      </w:r>
      <w:r>
        <w:t>DIFFERENCES BETWEEN ROUNDS</w:t>
      </w:r>
      <w:bookmarkEnd w:id="21"/>
    </w:p>
    <w:tbl>
      <w:tblPr>
        <w:tblW w:w="9082" w:type="dxa"/>
        <w:tblInd w:w="-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4A0" w:firstRow="1" w:lastRow="0" w:firstColumn="1" w:lastColumn="0" w:noHBand="0" w:noVBand="1"/>
      </w:tblPr>
      <w:tblGrid>
        <w:gridCol w:w="1711"/>
        <w:gridCol w:w="3119"/>
        <w:gridCol w:w="1276"/>
        <w:gridCol w:w="2976"/>
      </w:tblGrid>
      <w:tr w:rsidR="00501B69" w:rsidRPr="00C97B93" w14:paraId="4BE55399" w14:textId="4478C9B9" w:rsidTr="6D62FBF0">
        <w:trPr>
          <w:trHeight w:val="181"/>
        </w:trPr>
        <w:tc>
          <w:tcPr>
            <w:tcW w:w="1711" w:type="dxa"/>
            <w:shd w:val="clear" w:color="auto" w:fill="194869" w:themeFill="accent1"/>
            <w:hideMark/>
          </w:tcPr>
          <w:p w14:paraId="6752DADF" w14:textId="77777777" w:rsidR="00501B69" w:rsidRPr="00C97B93" w:rsidRDefault="00501B69" w:rsidP="568FBF53">
            <w:pPr>
              <w:spacing w:before="20" w:after="20"/>
              <w:textAlignment w:val="baseline"/>
              <w:rPr>
                <w:rFonts w:ascii="Segoe UI" w:eastAsia="Times New Roman" w:hAnsi="Segoe UI" w:cs="Segoe UI"/>
                <w:color w:val="20A6CA" w:themeColor="accent2"/>
                <w:sz w:val="20"/>
                <w:szCs w:val="20"/>
              </w:rPr>
            </w:pPr>
            <w:r w:rsidRPr="00C97B93">
              <w:rPr>
                <w:rFonts w:ascii="Calibri" w:eastAsia="Times New Roman" w:hAnsi="Calibri" w:cs="Calibri"/>
                <w:b/>
                <w:bCs/>
                <w:color w:val="FFFFFF" w:themeColor="background1"/>
                <w:sz w:val="20"/>
                <w:szCs w:val="20"/>
              </w:rPr>
              <w:t>2017</w:t>
            </w:r>
            <w:r w:rsidRPr="00C97B93">
              <w:rPr>
                <w:rFonts w:ascii="Calibri" w:eastAsia="Times New Roman" w:hAnsi="Calibri" w:cs="Calibri"/>
                <w:color w:val="FFFFFF" w:themeColor="background1"/>
                <w:sz w:val="20"/>
                <w:szCs w:val="20"/>
              </w:rPr>
              <w:t> </w:t>
            </w:r>
          </w:p>
        </w:tc>
        <w:tc>
          <w:tcPr>
            <w:tcW w:w="3119" w:type="dxa"/>
            <w:shd w:val="clear" w:color="auto" w:fill="194869" w:themeFill="accent1"/>
            <w:hideMark/>
          </w:tcPr>
          <w:p w14:paraId="70A37892" w14:textId="77777777" w:rsidR="00501B69" w:rsidRPr="00C97B93" w:rsidRDefault="00501B69" w:rsidP="568FBF53">
            <w:pPr>
              <w:spacing w:before="20" w:after="20"/>
              <w:textAlignment w:val="baseline"/>
              <w:rPr>
                <w:rFonts w:ascii="Segoe UI" w:eastAsia="Times New Roman" w:hAnsi="Segoe UI" w:cs="Segoe UI"/>
                <w:color w:val="20A6CA" w:themeColor="accent2"/>
                <w:sz w:val="20"/>
                <w:szCs w:val="20"/>
              </w:rPr>
            </w:pPr>
            <w:r w:rsidRPr="00C97B93">
              <w:rPr>
                <w:rFonts w:ascii="Calibri" w:eastAsia="Times New Roman" w:hAnsi="Calibri" w:cs="Calibri"/>
                <w:b/>
                <w:bCs/>
                <w:color w:val="FFFFFF" w:themeColor="background1"/>
                <w:sz w:val="20"/>
                <w:szCs w:val="20"/>
              </w:rPr>
              <w:t>2020</w:t>
            </w:r>
            <w:r w:rsidRPr="00C97B93">
              <w:rPr>
                <w:rFonts w:ascii="Calibri" w:eastAsia="Times New Roman" w:hAnsi="Calibri" w:cs="Calibri"/>
                <w:color w:val="FFFFFF" w:themeColor="background1"/>
                <w:sz w:val="20"/>
                <w:szCs w:val="20"/>
              </w:rPr>
              <w:t> </w:t>
            </w:r>
          </w:p>
        </w:tc>
        <w:tc>
          <w:tcPr>
            <w:tcW w:w="1276" w:type="dxa"/>
            <w:shd w:val="clear" w:color="auto" w:fill="194869" w:themeFill="accent1"/>
          </w:tcPr>
          <w:p w14:paraId="4A5577E4" w14:textId="77777777" w:rsidR="00501B69" w:rsidRPr="00C97B93" w:rsidRDefault="00501B69" w:rsidP="568FBF53">
            <w:pPr>
              <w:spacing w:before="20" w:after="20"/>
              <w:textAlignment w:val="baseline"/>
              <w:rPr>
                <w:rFonts w:ascii="Calibri" w:eastAsia="Times New Roman" w:hAnsi="Calibri" w:cs="Calibri"/>
                <w:b/>
                <w:bCs/>
                <w:color w:val="20A6CA" w:themeColor="accent2"/>
                <w:sz w:val="20"/>
                <w:szCs w:val="20"/>
              </w:rPr>
            </w:pPr>
            <w:r w:rsidRPr="00C97B93">
              <w:rPr>
                <w:rFonts w:ascii="Calibri" w:eastAsia="Times New Roman" w:hAnsi="Calibri" w:cs="Calibri"/>
                <w:b/>
                <w:bCs/>
                <w:color w:val="FFFFFF" w:themeColor="background1"/>
                <w:sz w:val="20"/>
                <w:szCs w:val="20"/>
              </w:rPr>
              <w:t>2023</w:t>
            </w:r>
          </w:p>
        </w:tc>
        <w:tc>
          <w:tcPr>
            <w:tcW w:w="2976" w:type="dxa"/>
            <w:shd w:val="clear" w:color="auto" w:fill="194869" w:themeFill="accent1"/>
          </w:tcPr>
          <w:p w14:paraId="68DF878F" w14:textId="4E390E64" w:rsidR="00501B69" w:rsidRPr="00C97B93" w:rsidRDefault="00501B69" w:rsidP="568FBF53">
            <w:pPr>
              <w:spacing w:before="20" w:after="20"/>
              <w:textAlignment w:val="baseline"/>
              <w:rPr>
                <w:rFonts w:ascii="Calibri" w:eastAsia="Times New Roman" w:hAnsi="Calibri" w:cs="Calibri"/>
                <w:b/>
                <w:bCs/>
                <w:color w:val="FFFFFF" w:themeColor="background1"/>
                <w:sz w:val="20"/>
                <w:szCs w:val="20"/>
              </w:rPr>
            </w:pPr>
            <w:r w:rsidRPr="6D62FBF0">
              <w:rPr>
                <w:rFonts w:ascii="Calibri" w:eastAsia="Times New Roman" w:hAnsi="Calibri" w:cs="Calibri"/>
                <w:b/>
                <w:bCs/>
                <w:color w:val="FFFFFF" w:themeColor="background1"/>
                <w:sz w:val="20"/>
                <w:szCs w:val="20"/>
              </w:rPr>
              <w:t>2026</w:t>
            </w:r>
          </w:p>
        </w:tc>
      </w:tr>
      <w:tr w:rsidR="00501B69" w:rsidRPr="00C97B93" w14:paraId="091ADE76" w14:textId="1DA3A73A" w:rsidTr="6D62FBF0">
        <w:trPr>
          <w:trHeight w:val="286"/>
        </w:trPr>
        <w:tc>
          <w:tcPr>
            <w:tcW w:w="1711" w:type="dxa"/>
            <w:hideMark/>
          </w:tcPr>
          <w:p w14:paraId="37C4F265" w14:textId="4DB4FC6C" w:rsidR="00501B69" w:rsidRPr="00C97B93" w:rsidRDefault="00501B69"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Qs 1.2d &amp; 2.2f: sub-national laws and institutions respectively, for federal countries only.</w:t>
            </w:r>
          </w:p>
        </w:tc>
        <w:tc>
          <w:tcPr>
            <w:tcW w:w="3119" w:type="dxa"/>
            <w:hideMark/>
          </w:tcPr>
          <w:p w14:paraId="1993D00E" w14:textId="77777777" w:rsidR="00501B69" w:rsidRPr="00C97B93" w:rsidRDefault="00501B69"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The revised questions 1.2d &amp; 2.2f were opened to all countries, acknowledging that many countries have sub-national regulations and authorities, even if the countries are not federal.  </w:t>
            </w:r>
          </w:p>
        </w:tc>
        <w:tc>
          <w:tcPr>
            <w:tcW w:w="1276" w:type="dxa"/>
          </w:tcPr>
          <w:p w14:paraId="56A167E0" w14:textId="77777777"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2020.</w:t>
            </w:r>
          </w:p>
        </w:tc>
        <w:tc>
          <w:tcPr>
            <w:tcW w:w="2976" w:type="dxa"/>
          </w:tcPr>
          <w:p w14:paraId="2A532F51" w14:textId="14E61487"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2023.</w:t>
            </w:r>
          </w:p>
        </w:tc>
      </w:tr>
      <w:tr w:rsidR="00E826CF" w:rsidRPr="00C97B93" w14:paraId="3EE9DD31" w14:textId="64BABF4E" w:rsidTr="6D62FBF0">
        <w:trPr>
          <w:trHeight w:val="716"/>
        </w:trPr>
        <w:tc>
          <w:tcPr>
            <w:tcW w:w="1711" w:type="dxa"/>
            <w:hideMark/>
          </w:tcPr>
          <w:p w14:paraId="66D4FF6D" w14:textId="77777777" w:rsidR="00E826CF" w:rsidRPr="00C97B93" w:rsidRDefault="00E826CF"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Qs 2.1e, 2.2c &amp; 2.2d: gender at national, sub-national and transboundary levels. </w:t>
            </w:r>
          </w:p>
        </w:tc>
        <w:tc>
          <w:tcPr>
            <w:tcW w:w="3119" w:type="dxa"/>
            <w:hideMark/>
          </w:tcPr>
          <w:p w14:paraId="1457D909" w14:textId="3FE16847" w:rsidR="00E826CF" w:rsidRPr="00C97B93" w:rsidRDefault="00E826CF"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These three questions were merged into a single question 2.2d. In 2017, most countries reported the same or similar scores at each level, so three questions did not add significant value. The merging of these three questions created space for two additional questions (see below). </w:t>
            </w:r>
          </w:p>
        </w:tc>
        <w:tc>
          <w:tcPr>
            <w:tcW w:w="1276" w:type="dxa"/>
          </w:tcPr>
          <w:p w14:paraId="092DD8FB" w14:textId="77777777" w:rsidR="00E826CF" w:rsidRPr="00C97B93" w:rsidRDefault="00E826CF"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2020</w:t>
            </w:r>
          </w:p>
        </w:tc>
        <w:tc>
          <w:tcPr>
            <w:tcW w:w="2976" w:type="dxa"/>
            <w:vMerge w:val="restart"/>
          </w:tcPr>
          <w:p w14:paraId="04E9BCBE" w14:textId="77777777" w:rsidR="00E826CF" w:rsidRPr="00C97B93" w:rsidRDefault="00E826CF"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2023.</w:t>
            </w:r>
          </w:p>
          <w:p w14:paraId="6B4A0872" w14:textId="2E3F26EF" w:rsidR="00E826CF" w:rsidRPr="00C97B93" w:rsidRDefault="00E826CF"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Clarifications to the thresholds</w:t>
            </w:r>
            <w:r w:rsidR="00C145EA" w:rsidRPr="00C97B93">
              <w:rPr>
                <w:rFonts w:ascii="Calibri" w:eastAsia="Times New Roman" w:hAnsi="Calibri" w:cs="Calibri"/>
                <w:color w:val="12354E" w:themeColor="accent1" w:themeShade="BF"/>
                <w:sz w:val="20"/>
                <w:szCs w:val="20"/>
              </w:rPr>
              <w:t xml:space="preserve"> and guidance text</w:t>
            </w:r>
            <w:r w:rsidRPr="00C97B93">
              <w:rPr>
                <w:rFonts w:ascii="Calibri" w:eastAsia="Times New Roman" w:hAnsi="Calibri" w:cs="Calibri"/>
                <w:color w:val="12354E" w:themeColor="accent1" w:themeShade="BF"/>
                <w:sz w:val="20"/>
                <w:szCs w:val="20"/>
              </w:rPr>
              <w:t xml:space="preserve"> for questions 2.2c and 2.2d were added.</w:t>
            </w:r>
          </w:p>
        </w:tc>
      </w:tr>
      <w:tr w:rsidR="00E826CF" w:rsidRPr="00C97B93" w14:paraId="66B3A2C6" w14:textId="7888CF06" w:rsidTr="6D62FBF0">
        <w:trPr>
          <w:trHeight w:val="286"/>
        </w:trPr>
        <w:tc>
          <w:tcPr>
            <w:tcW w:w="1711" w:type="dxa"/>
            <w:hideMark/>
          </w:tcPr>
          <w:p w14:paraId="2CD769A2" w14:textId="77777777" w:rsidR="00E826CF" w:rsidRPr="00C97B93" w:rsidRDefault="00E826CF"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 </w:t>
            </w:r>
          </w:p>
        </w:tc>
        <w:tc>
          <w:tcPr>
            <w:tcW w:w="3119" w:type="dxa"/>
            <w:hideMark/>
          </w:tcPr>
          <w:p w14:paraId="5EFC349B" w14:textId="34BBB638" w:rsidR="00E826CF" w:rsidRPr="00C97B93" w:rsidRDefault="00E826CF"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New question 2.2c on vulnerable groups. This captures an element of stakeholder participation which is important in the context of ‘leave no-one behind’ – one of the key principles of Agenda 2030. </w:t>
            </w:r>
          </w:p>
        </w:tc>
        <w:tc>
          <w:tcPr>
            <w:tcW w:w="1276" w:type="dxa"/>
          </w:tcPr>
          <w:p w14:paraId="0C7B0676" w14:textId="77777777" w:rsidR="00E826CF" w:rsidRPr="00C97B93" w:rsidRDefault="00E826CF"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2020.</w:t>
            </w:r>
          </w:p>
        </w:tc>
        <w:tc>
          <w:tcPr>
            <w:tcW w:w="2976" w:type="dxa"/>
            <w:vMerge/>
          </w:tcPr>
          <w:p w14:paraId="337B1988" w14:textId="19FF2812" w:rsidR="00E826CF" w:rsidRPr="00C97B93" w:rsidRDefault="00E826CF" w:rsidP="568FBF53">
            <w:pPr>
              <w:spacing w:before="20" w:after="20"/>
              <w:textAlignment w:val="baseline"/>
              <w:rPr>
                <w:rFonts w:ascii="Calibri" w:eastAsia="Times New Roman" w:hAnsi="Calibri" w:cs="Calibri"/>
                <w:color w:val="12354E" w:themeColor="accent1" w:themeShade="BF"/>
                <w:sz w:val="20"/>
                <w:szCs w:val="20"/>
              </w:rPr>
            </w:pPr>
          </w:p>
        </w:tc>
      </w:tr>
      <w:tr w:rsidR="00501B69" w:rsidRPr="00C97B93" w14:paraId="0D8F8378" w14:textId="461A0A4F" w:rsidTr="6D62FBF0">
        <w:trPr>
          <w:trHeight w:val="1657"/>
        </w:trPr>
        <w:tc>
          <w:tcPr>
            <w:tcW w:w="1711" w:type="dxa"/>
            <w:hideMark/>
          </w:tcPr>
          <w:p w14:paraId="147871D4" w14:textId="77777777" w:rsidR="00501B69" w:rsidRPr="00C97B93" w:rsidRDefault="00501B69"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 </w:t>
            </w:r>
          </w:p>
        </w:tc>
        <w:tc>
          <w:tcPr>
            <w:tcW w:w="3119" w:type="dxa"/>
            <w:hideMark/>
          </w:tcPr>
          <w:p w14:paraId="6BB39B12" w14:textId="77777777" w:rsidR="00501B69" w:rsidRPr="00C97B93" w:rsidRDefault="00501B69" w:rsidP="568FBF53">
            <w:pPr>
              <w:spacing w:before="20" w:after="20"/>
              <w:textAlignment w:val="baseline"/>
              <w:rPr>
                <w:rFonts w:ascii="Segoe UI" w:eastAsia="Times New Roman" w:hAnsi="Segoe UI" w:cs="Segoe UI"/>
                <w:color w:val="12354E" w:themeColor="accent1" w:themeShade="BF"/>
                <w:sz w:val="20"/>
                <w:szCs w:val="20"/>
              </w:rPr>
            </w:pPr>
            <w:r w:rsidRPr="00C97B93">
              <w:rPr>
                <w:rFonts w:ascii="Calibri" w:eastAsia="Times New Roman" w:hAnsi="Calibri" w:cs="Calibri"/>
                <w:color w:val="12354E" w:themeColor="accent1" w:themeShade="BF"/>
                <w:sz w:val="20"/>
                <w:szCs w:val="20"/>
              </w:rPr>
              <w:t>New question 4.2d on sub-national or basin budgets for IWRM elements, acknowledging the importance of funding being available at more ‘operational’ levels. </w:t>
            </w:r>
          </w:p>
        </w:tc>
        <w:tc>
          <w:tcPr>
            <w:tcW w:w="1276" w:type="dxa"/>
          </w:tcPr>
          <w:p w14:paraId="6450DF33" w14:textId="77777777"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As per 2020.</w:t>
            </w:r>
          </w:p>
        </w:tc>
        <w:tc>
          <w:tcPr>
            <w:tcW w:w="2976" w:type="dxa"/>
          </w:tcPr>
          <w:p w14:paraId="700A499F" w14:textId="7C48F0D1"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 xml:space="preserve">As per 2023. </w:t>
            </w:r>
          </w:p>
        </w:tc>
      </w:tr>
      <w:tr w:rsidR="00501B69" w:rsidRPr="00C97B93" w14:paraId="53E14CC5" w14:textId="0E24400A" w:rsidTr="6D62FBF0">
        <w:trPr>
          <w:trHeight w:val="286"/>
        </w:trPr>
        <w:tc>
          <w:tcPr>
            <w:tcW w:w="1711" w:type="dxa"/>
          </w:tcPr>
          <w:p w14:paraId="55B34133" w14:textId="77777777"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w:t>
            </w:r>
          </w:p>
        </w:tc>
        <w:tc>
          <w:tcPr>
            <w:tcW w:w="3119" w:type="dxa"/>
          </w:tcPr>
          <w:p w14:paraId="58D91A9E" w14:textId="77777777"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w:t>
            </w:r>
          </w:p>
        </w:tc>
        <w:tc>
          <w:tcPr>
            <w:tcW w:w="1276" w:type="dxa"/>
          </w:tcPr>
          <w:p w14:paraId="1BDEF81E" w14:textId="60661622" w:rsidR="00501B69" w:rsidRPr="00C97B93" w:rsidRDefault="00501B69"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 xml:space="preserve">Additional free-text field on “climate change considerations” for questions </w:t>
            </w:r>
            <w:r w:rsidRPr="00C97B93">
              <w:rPr>
                <w:rFonts w:ascii="Calibri" w:eastAsia="Calibri" w:hAnsi="Calibri" w:cs="Calibri"/>
                <w:color w:val="12354E" w:themeColor="accent1" w:themeShade="BF"/>
                <w:sz w:val="20"/>
                <w:szCs w:val="20"/>
              </w:rPr>
              <w:t>1.1c, 2.1b, 2.1e, 3.1e, and 4.1b</w:t>
            </w:r>
            <w:r w:rsidR="00C97B93">
              <w:rPr>
                <w:rFonts w:ascii="Calibri" w:eastAsia="Times New Roman" w:hAnsi="Calibri" w:cs="Calibri"/>
                <w:color w:val="12354E" w:themeColor="accent1" w:themeShade="BF"/>
                <w:sz w:val="20"/>
                <w:szCs w:val="20"/>
              </w:rPr>
              <w:t>.</w:t>
            </w:r>
          </w:p>
        </w:tc>
        <w:tc>
          <w:tcPr>
            <w:tcW w:w="2976" w:type="dxa"/>
          </w:tcPr>
          <w:p w14:paraId="1FB9847F" w14:textId="23B0845E" w:rsidR="00501B69" w:rsidRPr="00C97B93" w:rsidRDefault="00FE044C" w:rsidP="00FE044C">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 xml:space="preserve">Rather than being embedded in a particular question </w:t>
            </w:r>
            <w:r w:rsidR="00503841" w:rsidRPr="00C97B93">
              <w:rPr>
                <w:rFonts w:ascii="Calibri" w:eastAsia="Times New Roman" w:hAnsi="Calibri" w:cs="Calibri"/>
                <w:color w:val="12354E" w:themeColor="accent1" w:themeShade="BF"/>
                <w:sz w:val="20"/>
                <w:szCs w:val="20"/>
              </w:rPr>
              <w:t>in each</w:t>
            </w:r>
            <w:r w:rsidRPr="00C97B93">
              <w:rPr>
                <w:rFonts w:ascii="Calibri" w:eastAsia="Times New Roman" w:hAnsi="Calibri" w:cs="Calibri"/>
                <w:color w:val="12354E" w:themeColor="accent1" w:themeShade="BF"/>
                <w:sz w:val="20"/>
                <w:szCs w:val="20"/>
              </w:rPr>
              <w:t xml:space="preserve"> section, this question now comes at the end of each section, so that it can address all aspects of that section (IWRM dimension). In </w:t>
            </w:r>
            <w:r w:rsidR="00CC78E2" w:rsidRPr="00C97B93">
              <w:rPr>
                <w:rFonts w:ascii="Calibri" w:eastAsia="Times New Roman" w:hAnsi="Calibri" w:cs="Calibri"/>
                <w:color w:val="12354E" w:themeColor="accent1" w:themeShade="BF"/>
                <w:sz w:val="20"/>
                <w:szCs w:val="20"/>
              </w:rPr>
              <w:t>addition,</w:t>
            </w:r>
            <w:r w:rsidRPr="00C97B93">
              <w:rPr>
                <w:rFonts w:ascii="Calibri" w:eastAsia="Times New Roman" w:hAnsi="Calibri" w:cs="Calibri"/>
                <w:color w:val="12354E" w:themeColor="accent1" w:themeShade="BF"/>
                <w:sz w:val="20"/>
                <w:szCs w:val="20"/>
              </w:rPr>
              <w:t xml:space="preserve"> countries are asked to choose one of 6 implementation categories to quantify the implementation level. </w:t>
            </w:r>
          </w:p>
        </w:tc>
      </w:tr>
      <w:tr w:rsidR="00FE044C" w:rsidRPr="00C97B93" w14:paraId="33FE1AC7" w14:textId="77777777" w:rsidTr="6D62FBF0">
        <w:trPr>
          <w:trHeight w:val="286"/>
        </w:trPr>
        <w:tc>
          <w:tcPr>
            <w:tcW w:w="1711" w:type="dxa"/>
          </w:tcPr>
          <w:p w14:paraId="732D90BF" w14:textId="5A1D43A6" w:rsidR="00FE044C" w:rsidRPr="00C97B93" w:rsidRDefault="00C91135"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w:t>
            </w:r>
          </w:p>
        </w:tc>
        <w:tc>
          <w:tcPr>
            <w:tcW w:w="3119" w:type="dxa"/>
          </w:tcPr>
          <w:p w14:paraId="3616DD9B" w14:textId="0E1687FA" w:rsidR="00FE044C" w:rsidRPr="00C97B93" w:rsidRDefault="00C91135"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w:t>
            </w:r>
          </w:p>
        </w:tc>
        <w:tc>
          <w:tcPr>
            <w:tcW w:w="1276" w:type="dxa"/>
          </w:tcPr>
          <w:p w14:paraId="264064A4" w14:textId="7B958105" w:rsidR="00FE044C" w:rsidRPr="00C97B93" w:rsidRDefault="00C91135" w:rsidP="568FBF53">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w:t>
            </w:r>
          </w:p>
        </w:tc>
        <w:tc>
          <w:tcPr>
            <w:tcW w:w="2976" w:type="dxa"/>
          </w:tcPr>
          <w:p w14:paraId="0F61BF8C" w14:textId="5FF1708C" w:rsidR="00FE044C" w:rsidRPr="00C97B93" w:rsidRDefault="00FE044C" w:rsidP="00FE044C">
            <w:pPr>
              <w:spacing w:before="20" w:after="20"/>
              <w:textAlignment w:val="baseline"/>
              <w:rPr>
                <w:rFonts w:ascii="Calibri" w:eastAsia="Times New Roman" w:hAnsi="Calibri" w:cs="Calibri"/>
                <w:color w:val="12354E" w:themeColor="accent1" w:themeShade="BF"/>
                <w:sz w:val="20"/>
                <w:szCs w:val="20"/>
              </w:rPr>
            </w:pPr>
            <w:r w:rsidRPr="00C97B93">
              <w:rPr>
                <w:rFonts w:ascii="Calibri" w:eastAsia="Times New Roman" w:hAnsi="Calibri" w:cs="Calibri"/>
                <w:color w:val="12354E" w:themeColor="accent1" w:themeShade="BF"/>
                <w:sz w:val="20"/>
                <w:szCs w:val="20"/>
              </w:rPr>
              <w:t>Added free text field "</w:t>
            </w:r>
            <w:r w:rsidRPr="00C97B93">
              <w:rPr>
                <w:rFonts w:ascii="Calibri" w:eastAsia="Times New Roman" w:hAnsi="Calibri" w:cs="Calibri"/>
                <w:b/>
                <w:bCs/>
                <w:color w:val="12354E" w:themeColor="accent1" w:themeShade="BF"/>
                <w:sz w:val="20"/>
                <w:szCs w:val="20"/>
              </w:rPr>
              <w:t>Changes since 2023 reporting</w:t>
            </w:r>
            <w:r w:rsidRPr="00C97B93">
              <w:rPr>
                <w:rFonts w:ascii="Calibri" w:eastAsia="Times New Roman" w:hAnsi="Calibri" w:cs="Calibri"/>
                <w:color w:val="12354E" w:themeColor="accent1" w:themeShade="BF"/>
                <w:sz w:val="20"/>
                <w:szCs w:val="20"/>
              </w:rPr>
              <w:t xml:space="preserve">” to help countries clarify changes </w:t>
            </w:r>
            <w:r w:rsidR="00C97B93">
              <w:rPr>
                <w:rFonts w:ascii="Calibri" w:eastAsia="Times New Roman" w:hAnsi="Calibri" w:cs="Calibri"/>
                <w:color w:val="12354E" w:themeColor="accent1" w:themeShade="BF"/>
                <w:sz w:val="20"/>
                <w:szCs w:val="20"/>
              </w:rPr>
              <w:t>from</w:t>
            </w:r>
            <w:r w:rsidRPr="00C97B93">
              <w:rPr>
                <w:rFonts w:ascii="Calibri" w:eastAsia="Times New Roman" w:hAnsi="Calibri" w:cs="Calibri"/>
                <w:color w:val="12354E" w:themeColor="accent1" w:themeShade="BF"/>
                <w:sz w:val="20"/>
                <w:szCs w:val="20"/>
              </w:rPr>
              <w:t xml:space="preserve"> 2023 </w:t>
            </w:r>
            <w:r w:rsidR="00C97B93">
              <w:rPr>
                <w:rFonts w:ascii="Calibri" w:eastAsia="Times New Roman" w:hAnsi="Calibri" w:cs="Calibri"/>
                <w:color w:val="12354E" w:themeColor="accent1" w:themeShade="BF"/>
                <w:sz w:val="20"/>
                <w:szCs w:val="20"/>
              </w:rPr>
              <w:t>to</w:t>
            </w:r>
            <w:r w:rsidRPr="00C97B93">
              <w:rPr>
                <w:rFonts w:ascii="Calibri" w:eastAsia="Times New Roman" w:hAnsi="Calibri" w:cs="Calibri"/>
                <w:color w:val="12354E" w:themeColor="accent1" w:themeShade="BF"/>
                <w:sz w:val="20"/>
                <w:szCs w:val="20"/>
              </w:rPr>
              <w:t xml:space="preserve"> 2026.</w:t>
            </w:r>
          </w:p>
        </w:tc>
      </w:tr>
    </w:tbl>
    <w:p w14:paraId="2661B812" w14:textId="28762396" w:rsidR="00970943" w:rsidRPr="00C97B93" w:rsidRDefault="00E676F0" w:rsidP="00C97B93">
      <w:pPr>
        <w:pStyle w:val="Body"/>
        <w:spacing w:before="120" w:after="0"/>
        <w:jc w:val="both"/>
        <w:rPr>
          <w:szCs w:val="22"/>
          <w:lang w:val="en-GB"/>
        </w:rPr>
      </w:pPr>
      <w:r w:rsidRPr="00C97B93">
        <w:rPr>
          <w:szCs w:val="22"/>
          <w:lang w:val="en-GB"/>
        </w:rPr>
        <w:t xml:space="preserve">For clarity, minor amendments have also been made </w:t>
      </w:r>
      <w:proofErr w:type="gramStart"/>
      <w:r w:rsidRPr="00C97B93">
        <w:rPr>
          <w:szCs w:val="22"/>
          <w:lang w:val="en-GB"/>
        </w:rPr>
        <w:t>to:</w:t>
      </w:r>
      <w:proofErr w:type="gramEnd"/>
      <w:r w:rsidRPr="00C97B93">
        <w:rPr>
          <w:szCs w:val="22"/>
          <w:lang w:val="en-GB"/>
        </w:rPr>
        <w:t xml:space="preserve"> some threshold descriptions; guidance in the free-text fields; glossary (Annex A of Survey).</w:t>
      </w:r>
    </w:p>
    <w:sectPr w:rsidR="00970943" w:rsidRPr="00C97B93" w:rsidSect="004C4E64">
      <w:headerReference w:type="default" r:id="rId41"/>
      <w:footerReference w:type="default" r:id="rId42"/>
      <w:footerReference w:type="first" r:id="rId43"/>
      <w:pgSz w:w="11906" w:h="16838"/>
      <w:pgMar w:top="1342" w:right="1440" w:bottom="1073" w:left="1440" w:header="708" w:footer="5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537B" w14:textId="77777777" w:rsidR="002C1E58" w:rsidRDefault="002C1E58" w:rsidP="009819C7">
      <w:r>
        <w:separator/>
      </w:r>
    </w:p>
  </w:endnote>
  <w:endnote w:type="continuationSeparator" w:id="0">
    <w:p w14:paraId="2990574D" w14:textId="77777777" w:rsidR="002C1E58" w:rsidRDefault="002C1E58" w:rsidP="0098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29204"/>
      <w:docPartObj>
        <w:docPartGallery w:val="Page Numbers (Bottom of Page)"/>
        <w:docPartUnique/>
      </w:docPartObj>
    </w:sdtPr>
    <w:sdtEndPr>
      <w:rPr>
        <w:noProof/>
        <w:sz w:val="22"/>
        <w:szCs w:val="22"/>
      </w:rPr>
    </w:sdtEndPr>
    <w:sdtContent>
      <w:p w14:paraId="2AA6DC80" w14:textId="77777777" w:rsidR="006C21B5" w:rsidRPr="00D5785F" w:rsidRDefault="006C21B5">
        <w:pPr>
          <w:pStyle w:val="Footer"/>
          <w:jc w:val="right"/>
          <w:rPr>
            <w:sz w:val="22"/>
            <w:szCs w:val="22"/>
          </w:rPr>
        </w:pPr>
        <w:r w:rsidRPr="00D5785F">
          <w:rPr>
            <w:sz w:val="22"/>
            <w:szCs w:val="22"/>
          </w:rPr>
          <w:fldChar w:fldCharType="begin"/>
        </w:r>
        <w:r w:rsidRPr="00D5785F">
          <w:rPr>
            <w:sz w:val="22"/>
            <w:szCs w:val="22"/>
          </w:rPr>
          <w:instrText xml:space="preserve"> PAGE   \* MERGEFORMAT </w:instrText>
        </w:r>
        <w:r w:rsidRPr="00D5785F">
          <w:rPr>
            <w:sz w:val="22"/>
            <w:szCs w:val="22"/>
          </w:rPr>
          <w:fldChar w:fldCharType="separate"/>
        </w:r>
        <w:r w:rsidR="568FBF53" w:rsidRPr="00D5785F">
          <w:rPr>
            <w:sz w:val="22"/>
            <w:szCs w:val="22"/>
          </w:rPr>
          <w:t>7</w:t>
        </w:r>
        <w:r w:rsidRPr="00D5785F">
          <w:rPr>
            <w:sz w:val="22"/>
            <w:szCs w:val="22"/>
          </w:rPr>
          <w:fldChar w:fldCharType="end"/>
        </w:r>
      </w:p>
    </w:sdtContent>
  </w:sdt>
  <w:p w14:paraId="4089E08A" w14:textId="7FF9BBCE" w:rsidR="0019531E" w:rsidRPr="00382FD3" w:rsidRDefault="0019531E" w:rsidP="00382FD3">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29D0" w14:textId="2217F022" w:rsidR="13750A5F" w:rsidRDefault="000751FD" w:rsidP="13750A5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4AA9" w14:textId="77777777" w:rsidR="002C1E58" w:rsidRDefault="002C1E58" w:rsidP="009819C7">
      <w:r>
        <w:separator/>
      </w:r>
    </w:p>
  </w:footnote>
  <w:footnote w:type="continuationSeparator" w:id="0">
    <w:p w14:paraId="14D1B99F" w14:textId="77777777" w:rsidR="002C1E58" w:rsidRDefault="002C1E58" w:rsidP="009819C7">
      <w:r>
        <w:continuationSeparator/>
      </w:r>
    </w:p>
  </w:footnote>
  <w:footnote w:id="1">
    <w:p w14:paraId="7963C2B2" w14:textId="77777777" w:rsidR="005550D4" w:rsidRPr="004441E5" w:rsidRDefault="005550D4" w:rsidP="005550D4">
      <w:pPr>
        <w:pStyle w:val="FootnoteText"/>
        <w:rPr>
          <w:sz w:val="20"/>
          <w:szCs w:val="20"/>
        </w:rPr>
      </w:pPr>
      <w:r w:rsidRPr="00795FFC">
        <w:rPr>
          <w:rStyle w:val="FootnoteReference"/>
          <w:color w:val="194869" w:themeColor="accent1"/>
          <w:sz w:val="20"/>
          <w:szCs w:val="20"/>
        </w:rPr>
        <w:footnoteRef/>
      </w:r>
      <w:r w:rsidR="568FBF53" w:rsidRPr="00795FFC">
        <w:rPr>
          <w:color w:val="194869" w:themeColor="accent1"/>
          <w:sz w:val="20"/>
          <w:szCs w:val="20"/>
        </w:rPr>
        <w:t xml:space="preserve"> The standardised United Nations Statistical Division (UNSD) </w:t>
      </w:r>
      <w:hyperlink r:id="rId1" w:history="1">
        <w:r w:rsidR="568FBF53" w:rsidRPr="008F0647">
          <w:rPr>
            <w:rStyle w:val="Hyperlink"/>
            <w:rFonts w:eastAsiaTheme="minorHAnsi"/>
            <w:sz w:val="20"/>
            <w:szCs w:val="20"/>
            <w:lang w:bidi="ar-SA"/>
          </w:rPr>
          <w:t>Metadata Sheet for 6.5.1</w:t>
        </w:r>
      </w:hyperlink>
      <w:r w:rsidR="568FBF53" w:rsidRPr="00795FFC">
        <w:rPr>
          <w:color w:val="194869" w:themeColor="accent1"/>
          <w:sz w:val="20"/>
          <w:szCs w:val="20"/>
        </w:rPr>
        <w:t xml:space="preserve"> may be relevant for NSOs.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B1C2" w14:textId="3606ED6F" w:rsidR="0019531E" w:rsidRPr="00D21046" w:rsidRDefault="00345F82" w:rsidP="00ED744C">
    <w:pPr>
      <w:pStyle w:val="Header"/>
      <w:jc w:val="right"/>
      <w:rPr>
        <w:color w:val="323E4F" w:themeColor="text2" w:themeShade="BF"/>
        <w:sz w:val="16"/>
        <w:szCs w:val="16"/>
      </w:rPr>
    </w:pPr>
    <w:r>
      <w:rPr>
        <w:noProof/>
        <w:color w:val="323E4F" w:themeColor="text2" w:themeShade="BF"/>
        <w:sz w:val="16"/>
        <w:szCs w:val="16"/>
        <w:lang w:val="en-US"/>
      </w:rPr>
      <w:drawing>
        <wp:anchor distT="0" distB="0" distL="114300" distR="114300" simplePos="0" relativeHeight="251658240" behindDoc="1" locked="0" layoutInCell="1" allowOverlap="1" wp14:anchorId="42CF8FB2" wp14:editId="2EE014E5">
          <wp:simplePos x="0" y="0"/>
          <wp:positionH relativeFrom="column">
            <wp:posOffset>5376</wp:posOffset>
          </wp:positionH>
          <wp:positionV relativeFrom="paragraph">
            <wp:posOffset>-261620</wp:posOffset>
          </wp:positionV>
          <wp:extent cx="626302" cy="521918"/>
          <wp:effectExtent l="0" t="0" r="0" b="0"/>
          <wp:wrapNone/>
          <wp:docPr id="1011822144" name="Picture 101182214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6302" cy="5219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70C5"/>
    <w:multiLevelType w:val="multilevel"/>
    <w:tmpl w:val="FB64C7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6D6D45"/>
    <w:multiLevelType w:val="hybridMultilevel"/>
    <w:tmpl w:val="A286572A"/>
    <w:lvl w:ilvl="0" w:tplc="FFFFFFFF">
      <w:start w:val="1"/>
      <w:numFmt w:val="decimal"/>
      <w:lvlText w:val="%1)"/>
      <w:lvlJc w:val="left"/>
      <w:pPr>
        <w:ind w:left="720" w:hanging="360"/>
      </w:pPr>
      <w:rPr>
        <w:rFonts w:hint="default"/>
      </w:rPr>
    </w:lvl>
    <w:lvl w:ilvl="1" w:tplc="6EEE01A4">
      <w:start w:val="1"/>
      <w:numFmt w:val="bullet"/>
      <w:lvlText w:val=""/>
      <w:lvlJc w:val="left"/>
      <w:pPr>
        <w:ind w:left="720" w:hanging="360"/>
      </w:pPr>
      <w:rPr>
        <w:rFonts w:ascii="Symbol" w:hAnsi="Symbol" w:hint="default"/>
        <w:color w:val="4698D3" w:themeColor="accent1" w:themeTint="99"/>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F956C9"/>
    <w:multiLevelType w:val="hybridMultilevel"/>
    <w:tmpl w:val="889EB0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7C4656"/>
    <w:multiLevelType w:val="hybridMultilevel"/>
    <w:tmpl w:val="AC40BEBC"/>
    <w:lvl w:ilvl="0" w:tplc="DAC08ABC">
      <w:start w:val="1"/>
      <w:numFmt w:val="bullet"/>
      <w:pStyle w:val="ListParagraph"/>
      <w:lvlText w:val=""/>
      <w:lvlJc w:val="left"/>
      <w:pPr>
        <w:ind w:left="720" w:hanging="360"/>
      </w:pPr>
      <w:rPr>
        <w:rFonts w:ascii="Symbol" w:hAnsi="Symbol" w:hint="default"/>
        <w:color w:val="20A6CA"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8F7083"/>
    <w:multiLevelType w:val="hybridMultilevel"/>
    <w:tmpl w:val="E154ED3E"/>
    <w:lvl w:ilvl="0" w:tplc="E272B892">
      <w:start w:val="1"/>
      <w:numFmt w:val="decimal"/>
      <w:lvlText w:val="%1)"/>
      <w:lvlJc w:val="left"/>
      <w:pPr>
        <w:ind w:left="360" w:hanging="360"/>
      </w:pPr>
      <w:rPr>
        <w:rFonts w:asciiTheme="minorHAnsi" w:eastAsiaTheme="minorHAnsi" w:hAnsiTheme="minorHAnsi" w:cstheme="minorBidi"/>
        <w:b/>
        <w:bCs/>
        <w:sz w:val="22"/>
        <w:szCs w:val="22"/>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0BA610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90C0D85"/>
    <w:multiLevelType w:val="hybridMultilevel"/>
    <w:tmpl w:val="CB60C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824317">
    <w:abstractNumId w:val="3"/>
  </w:num>
  <w:num w:numId="2" w16cid:durableId="1371413521">
    <w:abstractNumId w:val="6"/>
  </w:num>
  <w:num w:numId="3" w16cid:durableId="104038233">
    <w:abstractNumId w:val="2"/>
  </w:num>
  <w:num w:numId="4" w16cid:durableId="1869173511">
    <w:abstractNumId w:val="4"/>
  </w:num>
  <w:num w:numId="5" w16cid:durableId="585186276">
    <w:abstractNumId w:val="0"/>
  </w:num>
  <w:num w:numId="6" w16cid:durableId="1563708225">
    <w:abstractNumId w:val="5"/>
  </w:num>
  <w:num w:numId="7" w16cid:durableId="123766836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19"/>
    <w:rsid w:val="0000284E"/>
    <w:rsid w:val="00006FBD"/>
    <w:rsid w:val="00014CB0"/>
    <w:rsid w:val="000161F9"/>
    <w:rsid w:val="00016BEF"/>
    <w:rsid w:val="00020B6B"/>
    <w:rsid w:val="00021293"/>
    <w:rsid w:val="000230B4"/>
    <w:rsid w:val="00024328"/>
    <w:rsid w:val="00026F5A"/>
    <w:rsid w:val="000272FE"/>
    <w:rsid w:val="000278CB"/>
    <w:rsid w:val="00027FD2"/>
    <w:rsid w:val="00031A87"/>
    <w:rsid w:val="000326DB"/>
    <w:rsid w:val="00034016"/>
    <w:rsid w:val="000341B0"/>
    <w:rsid w:val="0003449E"/>
    <w:rsid w:val="00036DEE"/>
    <w:rsid w:val="00037132"/>
    <w:rsid w:val="000421CD"/>
    <w:rsid w:val="00047A6F"/>
    <w:rsid w:val="00047DD8"/>
    <w:rsid w:val="000509C4"/>
    <w:rsid w:val="0005213A"/>
    <w:rsid w:val="00061317"/>
    <w:rsid w:val="0006670E"/>
    <w:rsid w:val="0006689B"/>
    <w:rsid w:val="00067447"/>
    <w:rsid w:val="000704FC"/>
    <w:rsid w:val="00070E83"/>
    <w:rsid w:val="00072A4A"/>
    <w:rsid w:val="00072F72"/>
    <w:rsid w:val="000751FD"/>
    <w:rsid w:val="000753E2"/>
    <w:rsid w:val="00077663"/>
    <w:rsid w:val="00091025"/>
    <w:rsid w:val="000916D3"/>
    <w:rsid w:val="000916F2"/>
    <w:rsid w:val="00092116"/>
    <w:rsid w:val="00093CBF"/>
    <w:rsid w:val="000977BE"/>
    <w:rsid w:val="000A0FF8"/>
    <w:rsid w:val="000A202A"/>
    <w:rsid w:val="000A2485"/>
    <w:rsid w:val="000A4578"/>
    <w:rsid w:val="000A65F0"/>
    <w:rsid w:val="000A6EAA"/>
    <w:rsid w:val="000A7798"/>
    <w:rsid w:val="000A77CB"/>
    <w:rsid w:val="000A7B1C"/>
    <w:rsid w:val="000B747D"/>
    <w:rsid w:val="000C284B"/>
    <w:rsid w:val="000C369B"/>
    <w:rsid w:val="000C49E0"/>
    <w:rsid w:val="000C49FD"/>
    <w:rsid w:val="000C566B"/>
    <w:rsid w:val="000C5A48"/>
    <w:rsid w:val="000C5B57"/>
    <w:rsid w:val="000C6D88"/>
    <w:rsid w:val="000C77D4"/>
    <w:rsid w:val="000D584B"/>
    <w:rsid w:val="000E2951"/>
    <w:rsid w:val="000E79D6"/>
    <w:rsid w:val="000F1F3C"/>
    <w:rsid w:val="000F4212"/>
    <w:rsid w:val="0010059F"/>
    <w:rsid w:val="001017BF"/>
    <w:rsid w:val="00105CE5"/>
    <w:rsid w:val="00110552"/>
    <w:rsid w:val="00111A3F"/>
    <w:rsid w:val="001125AE"/>
    <w:rsid w:val="00115938"/>
    <w:rsid w:val="00116098"/>
    <w:rsid w:val="00120281"/>
    <w:rsid w:val="00121556"/>
    <w:rsid w:val="001226CD"/>
    <w:rsid w:val="00122CE3"/>
    <w:rsid w:val="001236FA"/>
    <w:rsid w:val="0012681D"/>
    <w:rsid w:val="00130B1E"/>
    <w:rsid w:val="00132518"/>
    <w:rsid w:val="00134211"/>
    <w:rsid w:val="001348B4"/>
    <w:rsid w:val="001352C1"/>
    <w:rsid w:val="00137A02"/>
    <w:rsid w:val="0014182A"/>
    <w:rsid w:val="00141899"/>
    <w:rsid w:val="00142DCD"/>
    <w:rsid w:val="00143682"/>
    <w:rsid w:val="00145938"/>
    <w:rsid w:val="001470C8"/>
    <w:rsid w:val="00151370"/>
    <w:rsid w:val="0015405B"/>
    <w:rsid w:val="001561CD"/>
    <w:rsid w:val="00160BF0"/>
    <w:rsid w:val="00161177"/>
    <w:rsid w:val="001628FA"/>
    <w:rsid w:val="00164491"/>
    <w:rsid w:val="00164A55"/>
    <w:rsid w:val="001721C9"/>
    <w:rsid w:val="00172508"/>
    <w:rsid w:val="00174110"/>
    <w:rsid w:val="00174129"/>
    <w:rsid w:val="001747EB"/>
    <w:rsid w:val="00176615"/>
    <w:rsid w:val="00177A42"/>
    <w:rsid w:val="00177C8B"/>
    <w:rsid w:val="001800CA"/>
    <w:rsid w:val="0019109F"/>
    <w:rsid w:val="00191AEF"/>
    <w:rsid w:val="00192D3A"/>
    <w:rsid w:val="00193310"/>
    <w:rsid w:val="001943D5"/>
    <w:rsid w:val="00194AA4"/>
    <w:rsid w:val="0019531E"/>
    <w:rsid w:val="0019594B"/>
    <w:rsid w:val="0019656B"/>
    <w:rsid w:val="001A1897"/>
    <w:rsid w:val="001A226E"/>
    <w:rsid w:val="001A324E"/>
    <w:rsid w:val="001A3783"/>
    <w:rsid w:val="001A69EC"/>
    <w:rsid w:val="001B180A"/>
    <w:rsid w:val="001B72C2"/>
    <w:rsid w:val="001C00B6"/>
    <w:rsid w:val="001C3FB1"/>
    <w:rsid w:val="001C6559"/>
    <w:rsid w:val="001C7CCF"/>
    <w:rsid w:val="001D1D62"/>
    <w:rsid w:val="001D300C"/>
    <w:rsid w:val="001D3E19"/>
    <w:rsid w:val="001D5946"/>
    <w:rsid w:val="001D71EC"/>
    <w:rsid w:val="001E1F9F"/>
    <w:rsid w:val="001E2276"/>
    <w:rsid w:val="001E3DD4"/>
    <w:rsid w:val="001F0E72"/>
    <w:rsid w:val="001F1D8A"/>
    <w:rsid w:val="001F67EB"/>
    <w:rsid w:val="001F69FA"/>
    <w:rsid w:val="00203FE6"/>
    <w:rsid w:val="0021105A"/>
    <w:rsid w:val="00214B83"/>
    <w:rsid w:val="00216B32"/>
    <w:rsid w:val="00217A87"/>
    <w:rsid w:val="002215ED"/>
    <w:rsid w:val="002243F4"/>
    <w:rsid w:val="002267B7"/>
    <w:rsid w:val="00231533"/>
    <w:rsid w:val="00231D9D"/>
    <w:rsid w:val="0023586E"/>
    <w:rsid w:val="00235F7A"/>
    <w:rsid w:val="00237B03"/>
    <w:rsid w:val="00240A61"/>
    <w:rsid w:val="0024182A"/>
    <w:rsid w:val="00242C7B"/>
    <w:rsid w:val="00243545"/>
    <w:rsid w:val="00244049"/>
    <w:rsid w:val="00244D2A"/>
    <w:rsid w:val="00244D50"/>
    <w:rsid w:val="00245E38"/>
    <w:rsid w:val="002506E5"/>
    <w:rsid w:val="00251CD3"/>
    <w:rsid w:val="00253078"/>
    <w:rsid w:val="00253B9D"/>
    <w:rsid w:val="00256687"/>
    <w:rsid w:val="00265BFE"/>
    <w:rsid w:val="002671F4"/>
    <w:rsid w:val="00271910"/>
    <w:rsid w:val="00272B73"/>
    <w:rsid w:val="00276377"/>
    <w:rsid w:val="00277506"/>
    <w:rsid w:val="00284D3C"/>
    <w:rsid w:val="00290981"/>
    <w:rsid w:val="0029132D"/>
    <w:rsid w:val="00291E3D"/>
    <w:rsid w:val="00292044"/>
    <w:rsid w:val="00294CF3"/>
    <w:rsid w:val="00294DF2"/>
    <w:rsid w:val="0029573A"/>
    <w:rsid w:val="002964B9"/>
    <w:rsid w:val="00296D4E"/>
    <w:rsid w:val="002A21ED"/>
    <w:rsid w:val="002A45D1"/>
    <w:rsid w:val="002A67B8"/>
    <w:rsid w:val="002A6B2C"/>
    <w:rsid w:val="002B08AA"/>
    <w:rsid w:val="002B7458"/>
    <w:rsid w:val="002C0D1A"/>
    <w:rsid w:val="002C0F19"/>
    <w:rsid w:val="002C1070"/>
    <w:rsid w:val="002C1E58"/>
    <w:rsid w:val="002C2B20"/>
    <w:rsid w:val="002C57F0"/>
    <w:rsid w:val="002C647E"/>
    <w:rsid w:val="002D031F"/>
    <w:rsid w:val="002D26F2"/>
    <w:rsid w:val="002D2A7D"/>
    <w:rsid w:val="002D4607"/>
    <w:rsid w:val="002D68D4"/>
    <w:rsid w:val="002D7221"/>
    <w:rsid w:val="002E2BF2"/>
    <w:rsid w:val="002E54D9"/>
    <w:rsid w:val="002F13BE"/>
    <w:rsid w:val="002F54C6"/>
    <w:rsid w:val="002F6B28"/>
    <w:rsid w:val="00302FF5"/>
    <w:rsid w:val="003056B4"/>
    <w:rsid w:val="0030626F"/>
    <w:rsid w:val="0031214B"/>
    <w:rsid w:val="00312DE0"/>
    <w:rsid w:val="0032052F"/>
    <w:rsid w:val="00321419"/>
    <w:rsid w:val="0032597B"/>
    <w:rsid w:val="00327063"/>
    <w:rsid w:val="00331407"/>
    <w:rsid w:val="00333677"/>
    <w:rsid w:val="003339AD"/>
    <w:rsid w:val="003348BD"/>
    <w:rsid w:val="0033705F"/>
    <w:rsid w:val="003424D5"/>
    <w:rsid w:val="00343D93"/>
    <w:rsid w:val="00345F82"/>
    <w:rsid w:val="00350657"/>
    <w:rsid w:val="00350EB9"/>
    <w:rsid w:val="003537B7"/>
    <w:rsid w:val="00357CA7"/>
    <w:rsid w:val="00362EB0"/>
    <w:rsid w:val="00364886"/>
    <w:rsid w:val="00367219"/>
    <w:rsid w:val="003704F4"/>
    <w:rsid w:val="00370771"/>
    <w:rsid w:val="003732C1"/>
    <w:rsid w:val="00377190"/>
    <w:rsid w:val="00380B5C"/>
    <w:rsid w:val="00381D73"/>
    <w:rsid w:val="00382FD3"/>
    <w:rsid w:val="00383491"/>
    <w:rsid w:val="003850C2"/>
    <w:rsid w:val="003867BA"/>
    <w:rsid w:val="00390B6A"/>
    <w:rsid w:val="0039522E"/>
    <w:rsid w:val="00396B7B"/>
    <w:rsid w:val="00396F93"/>
    <w:rsid w:val="00397B8D"/>
    <w:rsid w:val="003A6E26"/>
    <w:rsid w:val="003B2758"/>
    <w:rsid w:val="003C03CD"/>
    <w:rsid w:val="003C0692"/>
    <w:rsid w:val="003C1F98"/>
    <w:rsid w:val="003C2E29"/>
    <w:rsid w:val="003C4DC1"/>
    <w:rsid w:val="003C5908"/>
    <w:rsid w:val="003C60E4"/>
    <w:rsid w:val="003C7A53"/>
    <w:rsid w:val="003C7E28"/>
    <w:rsid w:val="003D010C"/>
    <w:rsid w:val="003D06AA"/>
    <w:rsid w:val="003D5636"/>
    <w:rsid w:val="003D5DCE"/>
    <w:rsid w:val="003D68B7"/>
    <w:rsid w:val="003D70AC"/>
    <w:rsid w:val="003D7EC1"/>
    <w:rsid w:val="003E07EF"/>
    <w:rsid w:val="003E219D"/>
    <w:rsid w:val="003E26B5"/>
    <w:rsid w:val="003E6826"/>
    <w:rsid w:val="003E6BF0"/>
    <w:rsid w:val="003E75CC"/>
    <w:rsid w:val="003F1CD4"/>
    <w:rsid w:val="003F1D89"/>
    <w:rsid w:val="003F6568"/>
    <w:rsid w:val="00400FDE"/>
    <w:rsid w:val="004013B6"/>
    <w:rsid w:val="00405460"/>
    <w:rsid w:val="00406121"/>
    <w:rsid w:val="0041090C"/>
    <w:rsid w:val="004124D0"/>
    <w:rsid w:val="004134D1"/>
    <w:rsid w:val="004141A9"/>
    <w:rsid w:val="00414B8B"/>
    <w:rsid w:val="00416F20"/>
    <w:rsid w:val="004173BC"/>
    <w:rsid w:val="00423397"/>
    <w:rsid w:val="004266E3"/>
    <w:rsid w:val="004303E9"/>
    <w:rsid w:val="00432357"/>
    <w:rsid w:val="00432666"/>
    <w:rsid w:val="00444243"/>
    <w:rsid w:val="004500D5"/>
    <w:rsid w:val="00455766"/>
    <w:rsid w:val="00463089"/>
    <w:rsid w:val="004646E9"/>
    <w:rsid w:val="00473A0E"/>
    <w:rsid w:val="00477B91"/>
    <w:rsid w:val="00480809"/>
    <w:rsid w:val="004822C2"/>
    <w:rsid w:val="00483DB1"/>
    <w:rsid w:val="0048492F"/>
    <w:rsid w:val="0048550D"/>
    <w:rsid w:val="00485D3B"/>
    <w:rsid w:val="004869E6"/>
    <w:rsid w:val="004905B9"/>
    <w:rsid w:val="00495895"/>
    <w:rsid w:val="00495926"/>
    <w:rsid w:val="00496D62"/>
    <w:rsid w:val="004A2C6A"/>
    <w:rsid w:val="004A5963"/>
    <w:rsid w:val="004A6BF7"/>
    <w:rsid w:val="004B2378"/>
    <w:rsid w:val="004B2C84"/>
    <w:rsid w:val="004B4BE1"/>
    <w:rsid w:val="004B5C22"/>
    <w:rsid w:val="004B7FD7"/>
    <w:rsid w:val="004C0989"/>
    <w:rsid w:val="004C4E64"/>
    <w:rsid w:val="004D003B"/>
    <w:rsid w:val="004D1863"/>
    <w:rsid w:val="004D238B"/>
    <w:rsid w:val="004E0FCE"/>
    <w:rsid w:val="004E6B09"/>
    <w:rsid w:val="004F1649"/>
    <w:rsid w:val="004F47DB"/>
    <w:rsid w:val="004F498F"/>
    <w:rsid w:val="004F4F46"/>
    <w:rsid w:val="004F541B"/>
    <w:rsid w:val="00501B69"/>
    <w:rsid w:val="00503841"/>
    <w:rsid w:val="005051CB"/>
    <w:rsid w:val="00513C52"/>
    <w:rsid w:val="00521F13"/>
    <w:rsid w:val="005257D9"/>
    <w:rsid w:val="005277F9"/>
    <w:rsid w:val="00530BA8"/>
    <w:rsid w:val="00530E57"/>
    <w:rsid w:val="00532861"/>
    <w:rsid w:val="00533A6D"/>
    <w:rsid w:val="005410E9"/>
    <w:rsid w:val="00541B88"/>
    <w:rsid w:val="005470EE"/>
    <w:rsid w:val="00550791"/>
    <w:rsid w:val="005544A0"/>
    <w:rsid w:val="005550D4"/>
    <w:rsid w:val="00557053"/>
    <w:rsid w:val="005645E7"/>
    <w:rsid w:val="0057073D"/>
    <w:rsid w:val="00585C54"/>
    <w:rsid w:val="005863F4"/>
    <w:rsid w:val="005868CA"/>
    <w:rsid w:val="005973AF"/>
    <w:rsid w:val="005A0E64"/>
    <w:rsid w:val="005B2F36"/>
    <w:rsid w:val="005B3465"/>
    <w:rsid w:val="005B52AA"/>
    <w:rsid w:val="005C0751"/>
    <w:rsid w:val="005C1E72"/>
    <w:rsid w:val="005C3436"/>
    <w:rsid w:val="005C4351"/>
    <w:rsid w:val="005C5F47"/>
    <w:rsid w:val="005C7E25"/>
    <w:rsid w:val="005C7F35"/>
    <w:rsid w:val="005D38FF"/>
    <w:rsid w:val="005D3DEC"/>
    <w:rsid w:val="005D4B2E"/>
    <w:rsid w:val="005D5F64"/>
    <w:rsid w:val="005D68EB"/>
    <w:rsid w:val="005E0435"/>
    <w:rsid w:val="005E0E5D"/>
    <w:rsid w:val="005E0FC2"/>
    <w:rsid w:val="005E2023"/>
    <w:rsid w:val="005E6318"/>
    <w:rsid w:val="005F1D4F"/>
    <w:rsid w:val="006101CE"/>
    <w:rsid w:val="006114D9"/>
    <w:rsid w:val="00613FF6"/>
    <w:rsid w:val="00621755"/>
    <w:rsid w:val="00623F36"/>
    <w:rsid w:val="00625668"/>
    <w:rsid w:val="0063344F"/>
    <w:rsid w:val="00633EB0"/>
    <w:rsid w:val="006347B0"/>
    <w:rsid w:val="00634A00"/>
    <w:rsid w:val="00635212"/>
    <w:rsid w:val="00640F4C"/>
    <w:rsid w:val="00641774"/>
    <w:rsid w:val="00643EE5"/>
    <w:rsid w:val="00651F45"/>
    <w:rsid w:val="00652120"/>
    <w:rsid w:val="006543AD"/>
    <w:rsid w:val="00655E0C"/>
    <w:rsid w:val="006614FE"/>
    <w:rsid w:val="00662952"/>
    <w:rsid w:val="0067039D"/>
    <w:rsid w:val="00677B9C"/>
    <w:rsid w:val="0068177F"/>
    <w:rsid w:val="0068465A"/>
    <w:rsid w:val="00684D18"/>
    <w:rsid w:val="00686527"/>
    <w:rsid w:val="00691520"/>
    <w:rsid w:val="00693882"/>
    <w:rsid w:val="0069465E"/>
    <w:rsid w:val="006A3F31"/>
    <w:rsid w:val="006A6C69"/>
    <w:rsid w:val="006A7BDE"/>
    <w:rsid w:val="006B0531"/>
    <w:rsid w:val="006B12B0"/>
    <w:rsid w:val="006B23B8"/>
    <w:rsid w:val="006B2623"/>
    <w:rsid w:val="006B7089"/>
    <w:rsid w:val="006C21B5"/>
    <w:rsid w:val="006C4565"/>
    <w:rsid w:val="006C5D69"/>
    <w:rsid w:val="006C5FCF"/>
    <w:rsid w:val="006C70A0"/>
    <w:rsid w:val="006C7D77"/>
    <w:rsid w:val="006D2877"/>
    <w:rsid w:val="006D2984"/>
    <w:rsid w:val="006D2E39"/>
    <w:rsid w:val="006D34F4"/>
    <w:rsid w:val="006D7613"/>
    <w:rsid w:val="006E2EAE"/>
    <w:rsid w:val="006E4146"/>
    <w:rsid w:val="006F203B"/>
    <w:rsid w:val="006F7FF3"/>
    <w:rsid w:val="00702FF3"/>
    <w:rsid w:val="0071167F"/>
    <w:rsid w:val="0071487A"/>
    <w:rsid w:val="00714970"/>
    <w:rsid w:val="00717164"/>
    <w:rsid w:val="0071781E"/>
    <w:rsid w:val="007216EF"/>
    <w:rsid w:val="007221C3"/>
    <w:rsid w:val="00723E6A"/>
    <w:rsid w:val="00734F75"/>
    <w:rsid w:val="00736ECA"/>
    <w:rsid w:val="007379D8"/>
    <w:rsid w:val="0074182F"/>
    <w:rsid w:val="0074195B"/>
    <w:rsid w:val="00742BFC"/>
    <w:rsid w:val="00743B78"/>
    <w:rsid w:val="00743D90"/>
    <w:rsid w:val="00745E72"/>
    <w:rsid w:val="007472BD"/>
    <w:rsid w:val="007626D9"/>
    <w:rsid w:val="00762AEC"/>
    <w:rsid w:val="0076309F"/>
    <w:rsid w:val="0077005E"/>
    <w:rsid w:val="00770EC0"/>
    <w:rsid w:val="007762AF"/>
    <w:rsid w:val="007762FC"/>
    <w:rsid w:val="007764DB"/>
    <w:rsid w:val="00776949"/>
    <w:rsid w:val="00782896"/>
    <w:rsid w:val="00783ADF"/>
    <w:rsid w:val="00786BA3"/>
    <w:rsid w:val="00786F34"/>
    <w:rsid w:val="007878CB"/>
    <w:rsid w:val="007911B4"/>
    <w:rsid w:val="00792B90"/>
    <w:rsid w:val="00795FFC"/>
    <w:rsid w:val="00796919"/>
    <w:rsid w:val="007A033B"/>
    <w:rsid w:val="007A08CE"/>
    <w:rsid w:val="007B64C0"/>
    <w:rsid w:val="007C6523"/>
    <w:rsid w:val="007D1AEC"/>
    <w:rsid w:val="007D274B"/>
    <w:rsid w:val="007D6B5E"/>
    <w:rsid w:val="007E032E"/>
    <w:rsid w:val="007E5B14"/>
    <w:rsid w:val="007E64DF"/>
    <w:rsid w:val="007E6CB6"/>
    <w:rsid w:val="007E70AF"/>
    <w:rsid w:val="007E71EB"/>
    <w:rsid w:val="007F2071"/>
    <w:rsid w:val="007F2931"/>
    <w:rsid w:val="007F6CB3"/>
    <w:rsid w:val="007F7928"/>
    <w:rsid w:val="007F7E34"/>
    <w:rsid w:val="00801A90"/>
    <w:rsid w:val="00804593"/>
    <w:rsid w:val="008078E3"/>
    <w:rsid w:val="0081485A"/>
    <w:rsid w:val="008166DF"/>
    <w:rsid w:val="00824DFE"/>
    <w:rsid w:val="00826F05"/>
    <w:rsid w:val="00827EF7"/>
    <w:rsid w:val="008331F2"/>
    <w:rsid w:val="00836252"/>
    <w:rsid w:val="00837E03"/>
    <w:rsid w:val="00844946"/>
    <w:rsid w:val="00847411"/>
    <w:rsid w:val="00847689"/>
    <w:rsid w:val="00847C66"/>
    <w:rsid w:val="008516CE"/>
    <w:rsid w:val="008541D2"/>
    <w:rsid w:val="00861568"/>
    <w:rsid w:val="00866579"/>
    <w:rsid w:val="00874432"/>
    <w:rsid w:val="0087561A"/>
    <w:rsid w:val="00876E38"/>
    <w:rsid w:val="0088082D"/>
    <w:rsid w:val="00881C71"/>
    <w:rsid w:val="00891E7E"/>
    <w:rsid w:val="00892D36"/>
    <w:rsid w:val="00892DFD"/>
    <w:rsid w:val="00895442"/>
    <w:rsid w:val="008A06F0"/>
    <w:rsid w:val="008A16AC"/>
    <w:rsid w:val="008A196C"/>
    <w:rsid w:val="008A4C89"/>
    <w:rsid w:val="008A5A36"/>
    <w:rsid w:val="008B0EB5"/>
    <w:rsid w:val="008B39AC"/>
    <w:rsid w:val="008B46BE"/>
    <w:rsid w:val="008B4AB1"/>
    <w:rsid w:val="008B58D2"/>
    <w:rsid w:val="008B62D2"/>
    <w:rsid w:val="008C12A0"/>
    <w:rsid w:val="008C1B22"/>
    <w:rsid w:val="008C1E91"/>
    <w:rsid w:val="008C5D8A"/>
    <w:rsid w:val="008D1706"/>
    <w:rsid w:val="008D56C6"/>
    <w:rsid w:val="008D5EC1"/>
    <w:rsid w:val="008D6D29"/>
    <w:rsid w:val="008E0079"/>
    <w:rsid w:val="008E2324"/>
    <w:rsid w:val="008E5D49"/>
    <w:rsid w:val="008F0647"/>
    <w:rsid w:val="008F4822"/>
    <w:rsid w:val="008F6BD0"/>
    <w:rsid w:val="008F735C"/>
    <w:rsid w:val="008F762F"/>
    <w:rsid w:val="00900E51"/>
    <w:rsid w:val="00903831"/>
    <w:rsid w:val="00903F9B"/>
    <w:rsid w:val="00905EB4"/>
    <w:rsid w:val="00915BFE"/>
    <w:rsid w:val="0091699C"/>
    <w:rsid w:val="009177EB"/>
    <w:rsid w:val="0092077B"/>
    <w:rsid w:val="00922127"/>
    <w:rsid w:val="009235D8"/>
    <w:rsid w:val="009245F1"/>
    <w:rsid w:val="009249F6"/>
    <w:rsid w:val="009271A8"/>
    <w:rsid w:val="00930669"/>
    <w:rsid w:val="00931275"/>
    <w:rsid w:val="009321B2"/>
    <w:rsid w:val="00936B80"/>
    <w:rsid w:val="00944A08"/>
    <w:rsid w:val="009476D3"/>
    <w:rsid w:val="0095565C"/>
    <w:rsid w:val="00957836"/>
    <w:rsid w:val="00960712"/>
    <w:rsid w:val="0096136B"/>
    <w:rsid w:val="009628B2"/>
    <w:rsid w:val="00962913"/>
    <w:rsid w:val="00962CE7"/>
    <w:rsid w:val="00970943"/>
    <w:rsid w:val="0097284A"/>
    <w:rsid w:val="00973E8F"/>
    <w:rsid w:val="009819C7"/>
    <w:rsid w:val="00982EAE"/>
    <w:rsid w:val="0098576D"/>
    <w:rsid w:val="00987A75"/>
    <w:rsid w:val="00996813"/>
    <w:rsid w:val="00996A6E"/>
    <w:rsid w:val="009A1486"/>
    <w:rsid w:val="009A429A"/>
    <w:rsid w:val="009A65F4"/>
    <w:rsid w:val="009A698C"/>
    <w:rsid w:val="009B2CF5"/>
    <w:rsid w:val="009B2D3B"/>
    <w:rsid w:val="009B492C"/>
    <w:rsid w:val="009B51A9"/>
    <w:rsid w:val="009C041F"/>
    <w:rsid w:val="009C0B37"/>
    <w:rsid w:val="009C3FF2"/>
    <w:rsid w:val="009C473A"/>
    <w:rsid w:val="009C625F"/>
    <w:rsid w:val="009D13A6"/>
    <w:rsid w:val="009D20C4"/>
    <w:rsid w:val="009D2226"/>
    <w:rsid w:val="009D35DC"/>
    <w:rsid w:val="009D6EAA"/>
    <w:rsid w:val="009E5F4D"/>
    <w:rsid w:val="009E66C8"/>
    <w:rsid w:val="009E7F4F"/>
    <w:rsid w:val="009F567F"/>
    <w:rsid w:val="00A00F8E"/>
    <w:rsid w:val="00A07C3D"/>
    <w:rsid w:val="00A115E1"/>
    <w:rsid w:val="00A1217D"/>
    <w:rsid w:val="00A12E6F"/>
    <w:rsid w:val="00A154B0"/>
    <w:rsid w:val="00A17D75"/>
    <w:rsid w:val="00A17F08"/>
    <w:rsid w:val="00A213C8"/>
    <w:rsid w:val="00A215F0"/>
    <w:rsid w:val="00A2231A"/>
    <w:rsid w:val="00A2642A"/>
    <w:rsid w:val="00A2681A"/>
    <w:rsid w:val="00A31340"/>
    <w:rsid w:val="00A31534"/>
    <w:rsid w:val="00A316C7"/>
    <w:rsid w:val="00A317AD"/>
    <w:rsid w:val="00A404B5"/>
    <w:rsid w:val="00A40C78"/>
    <w:rsid w:val="00A43F19"/>
    <w:rsid w:val="00A51CDD"/>
    <w:rsid w:val="00A535E6"/>
    <w:rsid w:val="00A53F54"/>
    <w:rsid w:val="00A547C4"/>
    <w:rsid w:val="00A5744D"/>
    <w:rsid w:val="00A644F5"/>
    <w:rsid w:val="00A649D6"/>
    <w:rsid w:val="00A76008"/>
    <w:rsid w:val="00A76A59"/>
    <w:rsid w:val="00A77944"/>
    <w:rsid w:val="00A82AFC"/>
    <w:rsid w:val="00A8606E"/>
    <w:rsid w:val="00A86F47"/>
    <w:rsid w:val="00A8783B"/>
    <w:rsid w:val="00A90DA0"/>
    <w:rsid w:val="00A91844"/>
    <w:rsid w:val="00A93472"/>
    <w:rsid w:val="00A948E8"/>
    <w:rsid w:val="00A94D28"/>
    <w:rsid w:val="00AA193D"/>
    <w:rsid w:val="00AA27B6"/>
    <w:rsid w:val="00AA32D5"/>
    <w:rsid w:val="00AA3CC0"/>
    <w:rsid w:val="00AA6667"/>
    <w:rsid w:val="00AA68B6"/>
    <w:rsid w:val="00AA7816"/>
    <w:rsid w:val="00AB112B"/>
    <w:rsid w:val="00AB24F9"/>
    <w:rsid w:val="00AB6401"/>
    <w:rsid w:val="00AC0882"/>
    <w:rsid w:val="00AC2500"/>
    <w:rsid w:val="00AC2774"/>
    <w:rsid w:val="00AC7AC7"/>
    <w:rsid w:val="00AE383B"/>
    <w:rsid w:val="00AE431D"/>
    <w:rsid w:val="00AE57C3"/>
    <w:rsid w:val="00AF0797"/>
    <w:rsid w:val="00AF21AB"/>
    <w:rsid w:val="00AF4B07"/>
    <w:rsid w:val="00AF6624"/>
    <w:rsid w:val="00AF770B"/>
    <w:rsid w:val="00B00D7F"/>
    <w:rsid w:val="00B00D96"/>
    <w:rsid w:val="00B018D8"/>
    <w:rsid w:val="00B0219D"/>
    <w:rsid w:val="00B040E0"/>
    <w:rsid w:val="00B06286"/>
    <w:rsid w:val="00B1344A"/>
    <w:rsid w:val="00B16558"/>
    <w:rsid w:val="00B16801"/>
    <w:rsid w:val="00B30271"/>
    <w:rsid w:val="00B31497"/>
    <w:rsid w:val="00B330B2"/>
    <w:rsid w:val="00B331C8"/>
    <w:rsid w:val="00B34021"/>
    <w:rsid w:val="00B42595"/>
    <w:rsid w:val="00B44220"/>
    <w:rsid w:val="00B44680"/>
    <w:rsid w:val="00B50EF7"/>
    <w:rsid w:val="00B53DC4"/>
    <w:rsid w:val="00B5404D"/>
    <w:rsid w:val="00B54D7F"/>
    <w:rsid w:val="00B56FC8"/>
    <w:rsid w:val="00B62B50"/>
    <w:rsid w:val="00B63044"/>
    <w:rsid w:val="00B67789"/>
    <w:rsid w:val="00B77D0E"/>
    <w:rsid w:val="00B82D0C"/>
    <w:rsid w:val="00B82EEA"/>
    <w:rsid w:val="00B837BA"/>
    <w:rsid w:val="00B83A11"/>
    <w:rsid w:val="00B84D34"/>
    <w:rsid w:val="00B870E9"/>
    <w:rsid w:val="00B877CB"/>
    <w:rsid w:val="00B909BB"/>
    <w:rsid w:val="00B91998"/>
    <w:rsid w:val="00B93F74"/>
    <w:rsid w:val="00B96E98"/>
    <w:rsid w:val="00B97978"/>
    <w:rsid w:val="00B97AAD"/>
    <w:rsid w:val="00BA194C"/>
    <w:rsid w:val="00BA50C3"/>
    <w:rsid w:val="00BA6EE1"/>
    <w:rsid w:val="00BA798B"/>
    <w:rsid w:val="00BB0FFF"/>
    <w:rsid w:val="00BB2613"/>
    <w:rsid w:val="00BB5757"/>
    <w:rsid w:val="00BB59AC"/>
    <w:rsid w:val="00BB7177"/>
    <w:rsid w:val="00BB7CC2"/>
    <w:rsid w:val="00BC15C6"/>
    <w:rsid w:val="00BC4289"/>
    <w:rsid w:val="00BC5008"/>
    <w:rsid w:val="00BC5372"/>
    <w:rsid w:val="00BD2B7A"/>
    <w:rsid w:val="00BD2FC5"/>
    <w:rsid w:val="00BE2C8E"/>
    <w:rsid w:val="00BE538D"/>
    <w:rsid w:val="00BF0EB1"/>
    <w:rsid w:val="00BF1F60"/>
    <w:rsid w:val="00BF563B"/>
    <w:rsid w:val="00BF63F2"/>
    <w:rsid w:val="00C04FA9"/>
    <w:rsid w:val="00C11035"/>
    <w:rsid w:val="00C140E8"/>
    <w:rsid w:val="00C145EA"/>
    <w:rsid w:val="00C200DE"/>
    <w:rsid w:val="00C226B8"/>
    <w:rsid w:val="00C24E35"/>
    <w:rsid w:val="00C2655F"/>
    <w:rsid w:val="00C3041E"/>
    <w:rsid w:val="00C30DAB"/>
    <w:rsid w:val="00C30E92"/>
    <w:rsid w:val="00C31534"/>
    <w:rsid w:val="00C31CB5"/>
    <w:rsid w:val="00C31D43"/>
    <w:rsid w:val="00C34F2C"/>
    <w:rsid w:val="00C35671"/>
    <w:rsid w:val="00C35730"/>
    <w:rsid w:val="00C4369E"/>
    <w:rsid w:val="00C44F69"/>
    <w:rsid w:val="00C457FA"/>
    <w:rsid w:val="00C46777"/>
    <w:rsid w:val="00C4762A"/>
    <w:rsid w:val="00C5202D"/>
    <w:rsid w:val="00C529F7"/>
    <w:rsid w:val="00C52AD8"/>
    <w:rsid w:val="00C537B8"/>
    <w:rsid w:val="00C55D4C"/>
    <w:rsid w:val="00C604A2"/>
    <w:rsid w:val="00C61257"/>
    <w:rsid w:val="00C616F2"/>
    <w:rsid w:val="00C61E7B"/>
    <w:rsid w:val="00C61F8B"/>
    <w:rsid w:val="00C63F07"/>
    <w:rsid w:val="00C65DA0"/>
    <w:rsid w:val="00C6693F"/>
    <w:rsid w:val="00C671AF"/>
    <w:rsid w:val="00C71A70"/>
    <w:rsid w:val="00C728B2"/>
    <w:rsid w:val="00C76EBD"/>
    <w:rsid w:val="00C77192"/>
    <w:rsid w:val="00C802A4"/>
    <w:rsid w:val="00C87D2F"/>
    <w:rsid w:val="00C91135"/>
    <w:rsid w:val="00C9437B"/>
    <w:rsid w:val="00C95BFE"/>
    <w:rsid w:val="00C97299"/>
    <w:rsid w:val="00C97B93"/>
    <w:rsid w:val="00CA461E"/>
    <w:rsid w:val="00CA5473"/>
    <w:rsid w:val="00CB095F"/>
    <w:rsid w:val="00CB2CCE"/>
    <w:rsid w:val="00CB2F59"/>
    <w:rsid w:val="00CB3531"/>
    <w:rsid w:val="00CB4153"/>
    <w:rsid w:val="00CB6D45"/>
    <w:rsid w:val="00CC0B9C"/>
    <w:rsid w:val="00CC39B3"/>
    <w:rsid w:val="00CC54B2"/>
    <w:rsid w:val="00CC67E0"/>
    <w:rsid w:val="00CC6CC8"/>
    <w:rsid w:val="00CC78E2"/>
    <w:rsid w:val="00CD2263"/>
    <w:rsid w:val="00CD7E51"/>
    <w:rsid w:val="00CE3756"/>
    <w:rsid w:val="00CE4F30"/>
    <w:rsid w:val="00CF21F0"/>
    <w:rsid w:val="00CF2394"/>
    <w:rsid w:val="00CF580D"/>
    <w:rsid w:val="00CF6BE0"/>
    <w:rsid w:val="00CF7CE0"/>
    <w:rsid w:val="00D00EA7"/>
    <w:rsid w:val="00D01605"/>
    <w:rsid w:val="00D03274"/>
    <w:rsid w:val="00D07493"/>
    <w:rsid w:val="00D10EB5"/>
    <w:rsid w:val="00D12FC2"/>
    <w:rsid w:val="00D14901"/>
    <w:rsid w:val="00D15DEB"/>
    <w:rsid w:val="00D17D87"/>
    <w:rsid w:val="00D205C9"/>
    <w:rsid w:val="00D20710"/>
    <w:rsid w:val="00D20AC0"/>
    <w:rsid w:val="00D21046"/>
    <w:rsid w:val="00D22DEC"/>
    <w:rsid w:val="00D22E17"/>
    <w:rsid w:val="00D23128"/>
    <w:rsid w:val="00D24BC4"/>
    <w:rsid w:val="00D24CA6"/>
    <w:rsid w:val="00D26529"/>
    <w:rsid w:val="00D27980"/>
    <w:rsid w:val="00D34B5B"/>
    <w:rsid w:val="00D35F00"/>
    <w:rsid w:val="00D42FE7"/>
    <w:rsid w:val="00D430A6"/>
    <w:rsid w:val="00D4518A"/>
    <w:rsid w:val="00D50946"/>
    <w:rsid w:val="00D51FEA"/>
    <w:rsid w:val="00D54E99"/>
    <w:rsid w:val="00D55C79"/>
    <w:rsid w:val="00D563CE"/>
    <w:rsid w:val="00D577A2"/>
    <w:rsid w:val="00D5785F"/>
    <w:rsid w:val="00D6270B"/>
    <w:rsid w:val="00D62FC4"/>
    <w:rsid w:val="00D6499D"/>
    <w:rsid w:val="00D66099"/>
    <w:rsid w:val="00D70004"/>
    <w:rsid w:val="00D71054"/>
    <w:rsid w:val="00D734D8"/>
    <w:rsid w:val="00D76B83"/>
    <w:rsid w:val="00D8194E"/>
    <w:rsid w:val="00D81DFA"/>
    <w:rsid w:val="00D834E2"/>
    <w:rsid w:val="00D83B26"/>
    <w:rsid w:val="00D84696"/>
    <w:rsid w:val="00D8794C"/>
    <w:rsid w:val="00D87FD4"/>
    <w:rsid w:val="00D9182D"/>
    <w:rsid w:val="00D91BD3"/>
    <w:rsid w:val="00D95FD1"/>
    <w:rsid w:val="00DA2EB8"/>
    <w:rsid w:val="00DA42E1"/>
    <w:rsid w:val="00DA4EC3"/>
    <w:rsid w:val="00DA544C"/>
    <w:rsid w:val="00DA61B0"/>
    <w:rsid w:val="00DA7D4D"/>
    <w:rsid w:val="00DB2007"/>
    <w:rsid w:val="00DB3AEA"/>
    <w:rsid w:val="00DB607D"/>
    <w:rsid w:val="00DB786E"/>
    <w:rsid w:val="00DB7D06"/>
    <w:rsid w:val="00DC02DB"/>
    <w:rsid w:val="00DC2837"/>
    <w:rsid w:val="00DC294B"/>
    <w:rsid w:val="00DC3EAE"/>
    <w:rsid w:val="00DC4CB2"/>
    <w:rsid w:val="00DC501F"/>
    <w:rsid w:val="00DC5B77"/>
    <w:rsid w:val="00DD5F20"/>
    <w:rsid w:val="00DE1048"/>
    <w:rsid w:val="00DE3F45"/>
    <w:rsid w:val="00DE6790"/>
    <w:rsid w:val="00DF11C9"/>
    <w:rsid w:val="00DF2BA9"/>
    <w:rsid w:val="00DF2F1B"/>
    <w:rsid w:val="00DF3389"/>
    <w:rsid w:val="00DF5EAA"/>
    <w:rsid w:val="00DF71BF"/>
    <w:rsid w:val="00E002D2"/>
    <w:rsid w:val="00E02B5F"/>
    <w:rsid w:val="00E02DE5"/>
    <w:rsid w:val="00E03299"/>
    <w:rsid w:val="00E04FE2"/>
    <w:rsid w:val="00E0694E"/>
    <w:rsid w:val="00E1142A"/>
    <w:rsid w:val="00E114BC"/>
    <w:rsid w:val="00E11A33"/>
    <w:rsid w:val="00E12105"/>
    <w:rsid w:val="00E175F6"/>
    <w:rsid w:val="00E23981"/>
    <w:rsid w:val="00E30DB4"/>
    <w:rsid w:val="00E356B7"/>
    <w:rsid w:val="00E3693A"/>
    <w:rsid w:val="00E37E4D"/>
    <w:rsid w:val="00E420C4"/>
    <w:rsid w:val="00E42206"/>
    <w:rsid w:val="00E43F05"/>
    <w:rsid w:val="00E45926"/>
    <w:rsid w:val="00E46613"/>
    <w:rsid w:val="00E47270"/>
    <w:rsid w:val="00E53A13"/>
    <w:rsid w:val="00E53C75"/>
    <w:rsid w:val="00E56EE9"/>
    <w:rsid w:val="00E62B85"/>
    <w:rsid w:val="00E676F0"/>
    <w:rsid w:val="00E73636"/>
    <w:rsid w:val="00E740B0"/>
    <w:rsid w:val="00E755AC"/>
    <w:rsid w:val="00E80D2D"/>
    <w:rsid w:val="00E825D1"/>
    <w:rsid w:val="00E826CF"/>
    <w:rsid w:val="00E84C76"/>
    <w:rsid w:val="00E93B2C"/>
    <w:rsid w:val="00E94450"/>
    <w:rsid w:val="00E97B08"/>
    <w:rsid w:val="00EA41A1"/>
    <w:rsid w:val="00EA4521"/>
    <w:rsid w:val="00EA56E0"/>
    <w:rsid w:val="00EB2D3E"/>
    <w:rsid w:val="00EB34D9"/>
    <w:rsid w:val="00EB6BAC"/>
    <w:rsid w:val="00EB6EC0"/>
    <w:rsid w:val="00EC3F5E"/>
    <w:rsid w:val="00EC4A87"/>
    <w:rsid w:val="00EC5B44"/>
    <w:rsid w:val="00ED553B"/>
    <w:rsid w:val="00ED744C"/>
    <w:rsid w:val="00EE19FE"/>
    <w:rsid w:val="00EE1E9B"/>
    <w:rsid w:val="00EF1F09"/>
    <w:rsid w:val="00EF3504"/>
    <w:rsid w:val="00EF5661"/>
    <w:rsid w:val="00EF793B"/>
    <w:rsid w:val="00F02CF7"/>
    <w:rsid w:val="00F077C6"/>
    <w:rsid w:val="00F10AB2"/>
    <w:rsid w:val="00F13644"/>
    <w:rsid w:val="00F14582"/>
    <w:rsid w:val="00F15007"/>
    <w:rsid w:val="00F25C56"/>
    <w:rsid w:val="00F33368"/>
    <w:rsid w:val="00F3342D"/>
    <w:rsid w:val="00F33F8C"/>
    <w:rsid w:val="00F3508E"/>
    <w:rsid w:val="00F35989"/>
    <w:rsid w:val="00F37631"/>
    <w:rsid w:val="00F4373F"/>
    <w:rsid w:val="00F44413"/>
    <w:rsid w:val="00F4727F"/>
    <w:rsid w:val="00F50839"/>
    <w:rsid w:val="00F5090C"/>
    <w:rsid w:val="00F50E0B"/>
    <w:rsid w:val="00F524B4"/>
    <w:rsid w:val="00F53CD4"/>
    <w:rsid w:val="00F54FCD"/>
    <w:rsid w:val="00F707EF"/>
    <w:rsid w:val="00F74EE6"/>
    <w:rsid w:val="00F772B7"/>
    <w:rsid w:val="00F77B7F"/>
    <w:rsid w:val="00F80D92"/>
    <w:rsid w:val="00F83DC1"/>
    <w:rsid w:val="00F83FBF"/>
    <w:rsid w:val="00F907E8"/>
    <w:rsid w:val="00F914A0"/>
    <w:rsid w:val="00F93CAD"/>
    <w:rsid w:val="00F948C2"/>
    <w:rsid w:val="00F94995"/>
    <w:rsid w:val="00F955A6"/>
    <w:rsid w:val="00FA03CE"/>
    <w:rsid w:val="00FA16D5"/>
    <w:rsid w:val="00FA3D09"/>
    <w:rsid w:val="00FB0CC9"/>
    <w:rsid w:val="00FB3A63"/>
    <w:rsid w:val="00FB55A6"/>
    <w:rsid w:val="00FB5EDF"/>
    <w:rsid w:val="00FB7A01"/>
    <w:rsid w:val="00FC02BE"/>
    <w:rsid w:val="00FC586E"/>
    <w:rsid w:val="00FD05C8"/>
    <w:rsid w:val="00FE044C"/>
    <w:rsid w:val="00FE0727"/>
    <w:rsid w:val="00FE2410"/>
    <w:rsid w:val="00FF2973"/>
    <w:rsid w:val="00FF351F"/>
    <w:rsid w:val="02E141AB"/>
    <w:rsid w:val="0415F0DB"/>
    <w:rsid w:val="06788349"/>
    <w:rsid w:val="07F552EA"/>
    <w:rsid w:val="08179777"/>
    <w:rsid w:val="08EA09A4"/>
    <w:rsid w:val="0A094E37"/>
    <w:rsid w:val="0BAF22FE"/>
    <w:rsid w:val="0CCD0A1B"/>
    <w:rsid w:val="0D628FA5"/>
    <w:rsid w:val="0EB30E49"/>
    <w:rsid w:val="0FA32B95"/>
    <w:rsid w:val="104E5D9F"/>
    <w:rsid w:val="117E468C"/>
    <w:rsid w:val="12EA88EE"/>
    <w:rsid w:val="13750A5F"/>
    <w:rsid w:val="1386DB58"/>
    <w:rsid w:val="161C798E"/>
    <w:rsid w:val="17515CB1"/>
    <w:rsid w:val="17E11FA0"/>
    <w:rsid w:val="1B7ADB4A"/>
    <w:rsid w:val="1BFA11FC"/>
    <w:rsid w:val="1C0FD6F8"/>
    <w:rsid w:val="1D02C448"/>
    <w:rsid w:val="1E093C54"/>
    <w:rsid w:val="21B84DC3"/>
    <w:rsid w:val="21E04F8D"/>
    <w:rsid w:val="2285CCD1"/>
    <w:rsid w:val="24B61AF7"/>
    <w:rsid w:val="27B18969"/>
    <w:rsid w:val="29F70065"/>
    <w:rsid w:val="2BE1F0DA"/>
    <w:rsid w:val="2EDCA8A1"/>
    <w:rsid w:val="2EDEAF92"/>
    <w:rsid w:val="2F74D80F"/>
    <w:rsid w:val="321D4E79"/>
    <w:rsid w:val="34061A9D"/>
    <w:rsid w:val="34C8E63D"/>
    <w:rsid w:val="37330094"/>
    <w:rsid w:val="391CF6B7"/>
    <w:rsid w:val="392B44EE"/>
    <w:rsid w:val="3A26323D"/>
    <w:rsid w:val="3B03A0D5"/>
    <w:rsid w:val="3B50676D"/>
    <w:rsid w:val="3BAB0862"/>
    <w:rsid w:val="3BE75E8A"/>
    <w:rsid w:val="3D40B98F"/>
    <w:rsid w:val="3DBF3718"/>
    <w:rsid w:val="3EE2A924"/>
    <w:rsid w:val="3FD02D19"/>
    <w:rsid w:val="3FEC9133"/>
    <w:rsid w:val="44BDE024"/>
    <w:rsid w:val="450D07DD"/>
    <w:rsid w:val="461EFFF3"/>
    <w:rsid w:val="46C0B550"/>
    <w:rsid w:val="46F3721A"/>
    <w:rsid w:val="4834CCAB"/>
    <w:rsid w:val="493FDFE2"/>
    <w:rsid w:val="499421B3"/>
    <w:rsid w:val="4B64D615"/>
    <w:rsid w:val="4D1FAF65"/>
    <w:rsid w:val="4EBD8D42"/>
    <w:rsid w:val="4EE5C709"/>
    <w:rsid w:val="4FD37DCA"/>
    <w:rsid w:val="515E055C"/>
    <w:rsid w:val="53C05A94"/>
    <w:rsid w:val="547ECC2B"/>
    <w:rsid w:val="54F0F52A"/>
    <w:rsid w:val="5521F5C2"/>
    <w:rsid w:val="5567064B"/>
    <w:rsid w:val="568FBF53"/>
    <w:rsid w:val="58E3127F"/>
    <w:rsid w:val="59AD881B"/>
    <w:rsid w:val="5FD5A215"/>
    <w:rsid w:val="608C1D49"/>
    <w:rsid w:val="62DC09D7"/>
    <w:rsid w:val="66D8E307"/>
    <w:rsid w:val="672E4EF7"/>
    <w:rsid w:val="683DAADD"/>
    <w:rsid w:val="6B0528F9"/>
    <w:rsid w:val="6D62FBF0"/>
    <w:rsid w:val="706C2EED"/>
    <w:rsid w:val="712854C8"/>
    <w:rsid w:val="71891961"/>
    <w:rsid w:val="7478177C"/>
    <w:rsid w:val="7546685E"/>
    <w:rsid w:val="7605822A"/>
    <w:rsid w:val="7957531E"/>
    <w:rsid w:val="7B288F5A"/>
    <w:rsid w:val="7F89C615"/>
    <w:rsid w:val="7FDF55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0E69"/>
  <w15:chartTrackingRefBased/>
  <w15:docId w15:val="{1A421CEB-F180-D948-806A-AE791143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20"/>
  </w:style>
  <w:style w:type="paragraph" w:styleId="Heading1">
    <w:name w:val="heading 1"/>
    <w:basedOn w:val="Normal"/>
    <w:next w:val="Normal"/>
    <w:link w:val="Heading1Char"/>
    <w:uiPriority w:val="9"/>
    <w:qFormat/>
    <w:rsid w:val="00294CF3"/>
    <w:pPr>
      <w:numPr>
        <w:numId w:val="6"/>
      </w:numPr>
      <w:spacing w:after="120"/>
      <w:outlineLvl w:val="0"/>
    </w:pPr>
    <w:rPr>
      <w:b/>
      <w:bCs/>
      <w:color w:val="194869" w:themeColor="accent1"/>
      <w:sz w:val="36"/>
      <w:szCs w:val="44"/>
    </w:rPr>
  </w:style>
  <w:style w:type="paragraph" w:styleId="Heading2">
    <w:name w:val="heading 2"/>
    <w:basedOn w:val="Normal"/>
    <w:next w:val="Normal"/>
    <w:link w:val="Heading2Char"/>
    <w:uiPriority w:val="9"/>
    <w:unhideWhenUsed/>
    <w:qFormat/>
    <w:rsid w:val="568FBF53"/>
    <w:pPr>
      <w:numPr>
        <w:ilvl w:val="1"/>
        <w:numId w:val="6"/>
      </w:numPr>
      <w:spacing w:before="240" w:after="120"/>
      <w:outlineLvl w:val="1"/>
    </w:pPr>
    <w:rPr>
      <w:b/>
      <w:bCs/>
      <w:color w:val="20A6CA" w:themeColor="accent2"/>
      <w:sz w:val="36"/>
      <w:szCs w:val="36"/>
    </w:rPr>
  </w:style>
  <w:style w:type="paragraph" w:styleId="Heading3">
    <w:name w:val="heading 3"/>
    <w:basedOn w:val="Normal"/>
    <w:next w:val="Normal"/>
    <w:link w:val="Heading3Char"/>
    <w:uiPriority w:val="9"/>
    <w:unhideWhenUsed/>
    <w:qFormat/>
    <w:rsid w:val="568FBF53"/>
    <w:pPr>
      <w:keepNext/>
      <w:keepLines/>
      <w:numPr>
        <w:ilvl w:val="2"/>
        <w:numId w:val="6"/>
      </w:numPr>
      <w:spacing w:before="40"/>
      <w:outlineLvl w:val="2"/>
    </w:pPr>
    <w:rPr>
      <w:rFonts w:asciiTheme="majorHAnsi" w:eastAsiaTheme="majorEastAsia" w:hAnsiTheme="majorHAnsi" w:cstheme="majorBidi"/>
      <w:color w:val="0C2334" w:themeColor="accent1" w:themeShade="80"/>
    </w:rPr>
  </w:style>
  <w:style w:type="paragraph" w:styleId="Heading4">
    <w:name w:val="heading 4"/>
    <w:basedOn w:val="Normal"/>
    <w:next w:val="Normal"/>
    <w:link w:val="Heading4Char"/>
    <w:uiPriority w:val="9"/>
    <w:unhideWhenUsed/>
    <w:qFormat/>
    <w:rsid w:val="568FBF53"/>
    <w:pPr>
      <w:keepNext/>
      <w:keepLines/>
      <w:numPr>
        <w:ilvl w:val="3"/>
        <w:numId w:val="6"/>
      </w:numPr>
      <w:spacing w:before="40"/>
      <w:outlineLvl w:val="3"/>
    </w:pPr>
    <w:rPr>
      <w:rFonts w:asciiTheme="majorHAnsi" w:eastAsiaTheme="majorEastAsia" w:hAnsiTheme="majorHAnsi" w:cstheme="majorBidi"/>
      <w:i/>
      <w:iCs/>
      <w:color w:val="12354E" w:themeColor="accent1" w:themeShade="BF"/>
    </w:rPr>
  </w:style>
  <w:style w:type="paragraph" w:styleId="Heading5">
    <w:name w:val="heading 5"/>
    <w:basedOn w:val="Normal"/>
    <w:next w:val="Normal"/>
    <w:link w:val="Heading5Char"/>
    <w:uiPriority w:val="9"/>
    <w:unhideWhenUsed/>
    <w:qFormat/>
    <w:rsid w:val="568FBF53"/>
    <w:pPr>
      <w:keepNext/>
      <w:keepLines/>
      <w:numPr>
        <w:ilvl w:val="4"/>
        <w:numId w:val="6"/>
      </w:numPr>
      <w:spacing w:before="40"/>
      <w:outlineLvl w:val="4"/>
    </w:pPr>
    <w:rPr>
      <w:rFonts w:asciiTheme="majorHAnsi" w:eastAsiaTheme="majorEastAsia" w:hAnsiTheme="majorHAnsi" w:cstheme="majorBidi"/>
      <w:color w:val="12354E" w:themeColor="accent1" w:themeShade="BF"/>
    </w:rPr>
  </w:style>
  <w:style w:type="paragraph" w:styleId="Heading6">
    <w:name w:val="heading 6"/>
    <w:basedOn w:val="Normal"/>
    <w:next w:val="Normal"/>
    <w:link w:val="Heading6Char"/>
    <w:uiPriority w:val="9"/>
    <w:unhideWhenUsed/>
    <w:qFormat/>
    <w:rsid w:val="568FBF53"/>
    <w:pPr>
      <w:keepNext/>
      <w:keepLines/>
      <w:numPr>
        <w:ilvl w:val="5"/>
        <w:numId w:val="6"/>
      </w:numPr>
      <w:spacing w:before="40"/>
      <w:outlineLvl w:val="5"/>
    </w:pPr>
    <w:rPr>
      <w:rFonts w:asciiTheme="majorHAnsi" w:eastAsiaTheme="majorEastAsia" w:hAnsiTheme="majorHAnsi" w:cstheme="majorBidi"/>
      <w:color w:val="0C2334" w:themeColor="accent1" w:themeShade="80"/>
    </w:rPr>
  </w:style>
  <w:style w:type="paragraph" w:styleId="Heading7">
    <w:name w:val="heading 7"/>
    <w:basedOn w:val="Normal"/>
    <w:next w:val="Normal"/>
    <w:link w:val="Heading7Char"/>
    <w:uiPriority w:val="9"/>
    <w:unhideWhenUsed/>
    <w:qFormat/>
    <w:rsid w:val="568FBF53"/>
    <w:pPr>
      <w:keepNext/>
      <w:keepLines/>
      <w:numPr>
        <w:ilvl w:val="6"/>
        <w:numId w:val="6"/>
      </w:numPr>
      <w:spacing w:before="40"/>
      <w:outlineLvl w:val="6"/>
    </w:pPr>
    <w:rPr>
      <w:rFonts w:asciiTheme="majorHAnsi" w:eastAsiaTheme="majorEastAsia" w:hAnsiTheme="majorHAnsi" w:cstheme="majorBidi"/>
      <w:i/>
      <w:iCs/>
      <w:color w:val="0C2334" w:themeColor="accent1" w:themeShade="80"/>
    </w:rPr>
  </w:style>
  <w:style w:type="paragraph" w:styleId="Heading8">
    <w:name w:val="heading 8"/>
    <w:basedOn w:val="Normal"/>
    <w:next w:val="Normal"/>
    <w:link w:val="Heading8Char"/>
    <w:uiPriority w:val="9"/>
    <w:unhideWhenUsed/>
    <w:qFormat/>
    <w:rsid w:val="568FBF53"/>
    <w:pPr>
      <w:keepNext/>
      <w:keepLines/>
      <w:numPr>
        <w:ilvl w:val="7"/>
        <w:numId w:val="6"/>
      </w:numPr>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68FBF53"/>
    <w:pPr>
      <w:keepNext/>
      <w:keepLines/>
      <w:numPr>
        <w:ilvl w:val="8"/>
        <w:numId w:val="6"/>
      </w:numPr>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568FBF53"/>
    <w:pPr>
      <w:tabs>
        <w:tab w:val="center" w:pos="4513"/>
        <w:tab w:val="right" w:pos="9026"/>
      </w:tabs>
    </w:pPr>
  </w:style>
  <w:style w:type="character" w:customStyle="1" w:styleId="HeaderChar">
    <w:name w:val="Header Char"/>
    <w:basedOn w:val="DefaultParagraphFont"/>
    <w:link w:val="Header"/>
    <w:uiPriority w:val="99"/>
    <w:rsid w:val="568FBF53"/>
    <w:rPr>
      <w:noProof w:val="0"/>
      <w:lang w:val="en-GB"/>
    </w:rPr>
  </w:style>
  <w:style w:type="paragraph" w:styleId="Footer">
    <w:name w:val="footer"/>
    <w:basedOn w:val="Normal"/>
    <w:link w:val="FooterChar"/>
    <w:uiPriority w:val="99"/>
    <w:unhideWhenUsed/>
    <w:rsid w:val="568FBF53"/>
    <w:pPr>
      <w:tabs>
        <w:tab w:val="center" w:pos="4513"/>
        <w:tab w:val="right" w:pos="9026"/>
      </w:tabs>
    </w:pPr>
  </w:style>
  <w:style w:type="character" w:customStyle="1" w:styleId="FooterChar">
    <w:name w:val="Footer Char"/>
    <w:basedOn w:val="DefaultParagraphFont"/>
    <w:link w:val="Footer"/>
    <w:uiPriority w:val="99"/>
    <w:rsid w:val="568FBF53"/>
    <w:rPr>
      <w:noProof w:val="0"/>
      <w:lang w:val="en-GB"/>
    </w:rPr>
  </w:style>
  <w:style w:type="paragraph" w:styleId="ListParagraph">
    <w:name w:val="List Paragraph"/>
    <w:basedOn w:val="Normal"/>
    <w:uiPriority w:val="34"/>
    <w:qFormat/>
    <w:rsid w:val="568FBF53"/>
    <w:pPr>
      <w:numPr>
        <w:numId w:val="1"/>
      </w:numPr>
      <w:spacing w:after="240"/>
      <w:ind w:left="714" w:hanging="357"/>
      <w:contextualSpacing/>
    </w:pPr>
    <w:rPr>
      <w:color w:val="12354E" w:themeColor="accent1" w:themeShade="BF"/>
      <w:lang w:val="fr-FR"/>
    </w:rPr>
  </w:style>
  <w:style w:type="character" w:customStyle="1" w:styleId="Heading1Char">
    <w:name w:val="Heading 1 Char"/>
    <w:basedOn w:val="DefaultParagraphFont"/>
    <w:link w:val="Heading1"/>
    <w:uiPriority w:val="9"/>
    <w:rsid w:val="00294CF3"/>
    <w:rPr>
      <w:b/>
      <w:bCs/>
      <w:color w:val="194869" w:themeColor="accent1"/>
      <w:sz w:val="36"/>
      <w:szCs w:val="44"/>
    </w:rPr>
  </w:style>
  <w:style w:type="character" w:customStyle="1" w:styleId="Heading2Char">
    <w:name w:val="Heading 2 Char"/>
    <w:basedOn w:val="DefaultParagraphFont"/>
    <w:link w:val="Heading2"/>
    <w:uiPriority w:val="9"/>
    <w:rsid w:val="568FBF53"/>
    <w:rPr>
      <w:b/>
      <w:bCs/>
      <w:color w:val="20A6CA" w:themeColor="accent2"/>
      <w:sz w:val="36"/>
      <w:szCs w:val="36"/>
    </w:rPr>
  </w:style>
  <w:style w:type="paragraph" w:customStyle="1" w:styleId="Boxtitle">
    <w:name w:val="Box title"/>
    <w:basedOn w:val="Normal"/>
    <w:uiPriority w:val="1"/>
    <w:qFormat/>
    <w:rsid w:val="568FBF53"/>
    <w:rPr>
      <w:b/>
      <w:bCs/>
      <w:color w:val="4EB3B9" w:themeColor="accent4"/>
      <w:sz w:val="32"/>
      <w:szCs w:val="32"/>
    </w:rPr>
  </w:style>
  <w:style w:type="paragraph" w:customStyle="1" w:styleId="Body">
    <w:name w:val="Body"/>
    <w:basedOn w:val="Normal"/>
    <w:uiPriority w:val="1"/>
    <w:qFormat/>
    <w:rsid w:val="00905EB4"/>
    <w:pPr>
      <w:spacing w:after="120"/>
    </w:pPr>
    <w:rPr>
      <w:color w:val="12354E" w:themeColor="accent1" w:themeShade="BF"/>
      <w:sz w:val="22"/>
      <w:lang w:val="fr-FR"/>
    </w:rPr>
  </w:style>
  <w:style w:type="paragraph" w:customStyle="1" w:styleId="Boxtext">
    <w:name w:val="Box text"/>
    <w:basedOn w:val="Normal"/>
    <w:uiPriority w:val="1"/>
    <w:qFormat/>
    <w:rsid w:val="568FBF53"/>
    <w:rPr>
      <w:color w:val="44546A" w:themeColor="text2"/>
      <w:lang w:val="fr-FR"/>
    </w:rPr>
  </w:style>
  <w:style w:type="paragraph" w:customStyle="1" w:styleId="Figure-TableHeading">
    <w:name w:val="Figure-Table Heading"/>
    <w:basedOn w:val="Normal"/>
    <w:uiPriority w:val="1"/>
    <w:qFormat/>
    <w:rsid w:val="568FBF53"/>
    <w:pPr>
      <w:spacing w:after="240"/>
    </w:pPr>
    <w:rPr>
      <w:b/>
      <w:bCs/>
      <w:color w:val="4EB3B9" w:themeColor="accent4"/>
    </w:rPr>
  </w:style>
  <w:style w:type="paragraph" w:customStyle="1" w:styleId="Header3">
    <w:name w:val="Header 3"/>
    <w:basedOn w:val="Body"/>
    <w:uiPriority w:val="1"/>
    <w:qFormat/>
    <w:rsid w:val="568FBF53"/>
    <w:pPr>
      <w:spacing w:after="60"/>
    </w:pPr>
    <w:rPr>
      <w:b/>
      <w:bCs/>
      <w:color w:val="F39371" w:themeColor="accent6"/>
      <w:sz w:val="28"/>
      <w:szCs w:val="28"/>
    </w:rPr>
  </w:style>
  <w:style w:type="table" w:styleId="TableGrid">
    <w:name w:val="Table Grid"/>
    <w:basedOn w:val="TableNormal"/>
    <w:uiPriority w:val="39"/>
    <w:rsid w:val="00244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WRMhyperlinks">
    <w:name w:val="IWRM hyperlinks"/>
    <w:basedOn w:val="DefaultParagraphFont"/>
    <w:uiPriority w:val="1"/>
    <w:qFormat/>
    <w:rsid w:val="007F2931"/>
    <w:rPr>
      <w:rFonts w:cs="Times New Roman (Body CS)"/>
      <w:u w:val="single" w:color="4EB3B9" w:themeColor="accent4"/>
      <w:lang w:val="en-GB"/>
    </w:rPr>
  </w:style>
  <w:style w:type="character" w:customStyle="1" w:styleId="Bold">
    <w:name w:val="Bold"/>
    <w:basedOn w:val="DefaultParagraphFont"/>
    <w:uiPriority w:val="1"/>
    <w:qFormat/>
    <w:rsid w:val="007F2931"/>
    <w:rPr>
      <w:b/>
      <w:bCs/>
    </w:rPr>
  </w:style>
  <w:style w:type="character" w:customStyle="1" w:styleId="Italics">
    <w:name w:val="Italics"/>
    <w:basedOn w:val="DefaultParagraphFont"/>
    <w:uiPriority w:val="1"/>
    <w:qFormat/>
    <w:rsid w:val="007F2931"/>
    <w:rPr>
      <w:i/>
      <w:iCs/>
    </w:rPr>
  </w:style>
  <w:style w:type="character" w:styleId="Hyperlink">
    <w:name w:val="Hyperlink"/>
    <w:basedOn w:val="DefaultParagraphFont"/>
    <w:uiPriority w:val="99"/>
    <w:unhideWhenUsed/>
    <w:rsid w:val="004646E9"/>
    <w:rPr>
      <w:color w:val="8EC044" w:themeColor="hyperlink"/>
      <w:u w:val="single"/>
    </w:rPr>
  </w:style>
  <w:style w:type="paragraph" w:styleId="Subtitle">
    <w:name w:val="Subtitle"/>
    <w:basedOn w:val="Normal"/>
    <w:next w:val="Normal"/>
    <w:link w:val="SubtitleChar"/>
    <w:uiPriority w:val="11"/>
    <w:qFormat/>
    <w:rsid w:val="568FBF53"/>
    <w:pPr>
      <w:spacing w:after="1000" w:line="276" w:lineRule="auto"/>
    </w:pPr>
    <w:rPr>
      <w:rFonts w:eastAsiaTheme="minorEastAsia"/>
      <w:smallCaps/>
      <w:color w:val="595959" w:themeColor="text1" w:themeTint="A6"/>
      <w:lang w:bidi="en-US"/>
    </w:rPr>
  </w:style>
  <w:style w:type="character" w:customStyle="1" w:styleId="SubtitleChar">
    <w:name w:val="Subtitle Char"/>
    <w:basedOn w:val="DefaultParagraphFont"/>
    <w:link w:val="Subtitle"/>
    <w:uiPriority w:val="11"/>
    <w:rsid w:val="568FBF53"/>
    <w:rPr>
      <w:rFonts w:asciiTheme="minorHAnsi" w:eastAsiaTheme="minorEastAsia" w:hAnsiTheme="minorHAnsi" w:cstheme="minorBidi"/>
      <w:smallCaps/>
      <w:noProof w:val="0"/>
      <w:color w:val="595959" w:themeColor="text1" w:themeTint="A6"/>
      <w:lang w:val="en-GB" w:bidi="en-US"/>
    </w:rPr>
  </w:style>
  <w:style w:type="paragraph" w:styleId="FootnoteText">
    <w:name w:val="footnote text"/>
    <w:aliases w:val="5_G"/>
    <w:basedOn w:val="Normal"/>
    <w:link w:val="FootnoteTextChar"/>
    <w:uiPriority w:val="99"/>
    <w:unhideWhenUsed/>
    <w:qFormat/>
    <w:rsid w:val="568FBF53"/>
    <w:pPr>
      <w:spacing w:line="276" w:lineRule="auto"/>
    </w:pPr>
    <w:rPr>
      <w:rFonts w:eastAsiaTheme="minorEastAsia"/>
      <w:lang w:bidi="en-US"/>
    </w:rPr>
  </w:style>
  <w:style w:type="character" w:customStyle="1" w:styleId="FootnoteTextChar">
    <w:name w:val="Footnote Text Char"/>
    <w:aliases w:val="5_G Char"/>
    <w:basedOn w:val="DefaultParagraphFont"/>
    <w:link w:val="FootnoteText"/>
    <w:uiPriority w:val="99"/>
    <w:rsid w:val="568FBF53"/>
    <w:rPr>
      <w:rFonts w:asciiTheme="minorHAnsi" w:eastAsiaTheme="minorEastAsia" w:hAnsiTheme="minorHAnsi" w:cstheme="minorBidi"/>
      <w:noProof w:val="0"/>
      <w:lang w:val="en-GB" w:bidi="en-US"/>
    </w:rPr>
  </w:style>
  <w:style w:type="character" w:styleId="FootnoteReference">
    <w:name w:val="footnote reference"/>
    <w:aliases w:val="4_G"/>
    <w:basedOn w:val="DefaultParagraphFont"/>
    <w:uiPriority w:val="99"/>
    <w:unhideWhenUsed/>
    <w:rsid w:val="00970943"/>
    <w:rPr>
      <w:vertAlign w:val="superscript"/>
    </w:rPr>
  </w:style>
  <w:style w:type="character" w:customStyle="1" w:styleId="normaltextrun">
    <w:name w:val="normaltextrun"/>
    <w:basedOn w:val="DefaultParagraphFont"/>
    <w:rsid w:val="00970943"/>
  </w:style>
  <w:style w:type="character" w:styleId="CommentReference">
    <w:name w:val="annotation reference"/>
    <w:basedOn w:val="DefaultParagraphFont"/>
    <w:uiPriority w:val="99"/>
    <w:semiHidden/>
    <w:unhideWhenUsed/>
    <w:rsid w:val="00970943"/>
    <w:rPr>
      <w:sz w:val="18"/>
      <w:szCs w:val="18"/>
    </w:rPr>
  </w:style>
  <w:style w:type="paragraph" w:styleId="CommentText">
    <w:name w:val="annotation text"/>
    <w:basedOn w:val="Normal"/>
    <w:link w:val="CommentTextChar"/>
    <w:uiPriority w:val="99"/>
    <w:unhideWhenUsed/>
    <w:rsid w:val="568FBF53"/>
    <w:pPr>
      <w:spacing w:after="120" w:line="276" w:lineRule="auto"/>
    </w:pPr>
    <w:rPr>
      <w:rFonts w:eastAsiaTheme="minorEastAsia"/>
      <w:lang w:bidi="en-US"/>
    </w:rPr>
  </w:style>
  <w:style w:type="character" w:customStyle="1" w:styleId="CommentTextChar">
    <w:name w:val="Comment Text Char"/>
    <w:basedOn w:val="DefaultParagraphFont"/>
    <w:link w:val="CommentText"/>
    <w:uiPriority w:val="99"/>
    <w:rsid w:val="568FBF53"/>
    <w:rPr>
      <w:rFonts w:asciiTheme="minorHAnsi" w:eastAsiaTheme="minorEastAsia" w:hAnsiTheme="minorHAnsi" w:cstheme="minorBidi"/>
      <w:noProof w:val="0"/>
      <w:lang w:val="en-GB" w:bidi="en-US"/>
    </w:rPr>
  </w:style>
  <w:style w:type="character" w:styleId="FollowedHyperlink">
    <w:name w:val="FollowedHyperlink"/>
    <w:basedOn w:val="DefaultParagraphFont"/>
    <w:uiPriority w:val="99"/>
    <w:semiHidden/>
    <w:unhideWhenUsed/>
    <w:rsid w:val="005550D4"/>
    <w:rPr>
      <w:color w:val="02615B" w:themeColor="followedHyperlink"/>
      <w:u w:val="single"/>
    </w:rPr>
  </w:style>
  <w:style w:type="paragraph" w:styleId="CommentSubject">
    <w:name w:val="annotation subject"/>
    <w:basedOn w:val="CommentText"/>
    <w:next w:val="CommentText"/>
    <w:link w:val="CommentSubjectChar"/>
    <w:uiPriority w:val="99"/>
    <w:semiHidden/>
    <w:unhideWhenUsed/>
    <w:rsid w:val="568FBF53"/>
    <w:pPr>
      <w:spacing w:after="0"/>
    </w:pPr>
    <w:rPr>
      <w:b/>
      <w:bCs/>
      <w:sz w:val="20"/>
      <w:szCs w:val="20"/>
      <w:lang w:bidi="ar-SA"/>
    </w:rPr>
  </w:style>
  <w:style w:type="character" w:customStyle="1" w:styleId="CommentSubjectChar">
    <w:name w:val="Comment Subject Char"/>
    <w:basedOn w:val="CommentTextChar"/>
    <w:link w:val="CommentSubject"/>
    <w:uiPriority w:val="99"/>
    <w:semiHidden/>
    <w:rsid w:val="568FBF53"/>
    <w:rPr>
      <w:rFonts w:asciiTheme="minorHAnsi" w:eastAsiaTheme="minorEastAsia" w:hAnsiTheme="minorHAnsi" w:cstheme="minorBidi"/>
      <w:b/>
      <w:bCs/>
      <w:noProof w:val="0"/>
      <w:sz w:val="20"/>
      <w:szCs w:val="20"/>
      <w:lang w:val="en-GB" w:bidi="en-US"/>
    </w:rPr>
  </w:style>
  <w:style w:type="paragraph" w:styleId="BalloonText">
    <w:name w:val="Balloon Text"/>
    <w:basedOn w:val="Normal"/>
    <w:link w:val="BalloonTextChar"/>
    <w:uiPriority w:val="99"/>
    <w:semiHidden/>
    <w:unhideWhenUsed/>
    <w:rsid w:val="568FBF53"/>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568FBF53"/>
    <w:rPr>
      <w:rFonts w:ascii="Segoe UI" w:eastAsiaTheme="minorEastAsia" w:hAnsi="Segoe UI" w:cs="Segoe UI"/>
      <w:noProof w:val="0"/>
      <w:sz w:val="18"/>
      <w:szCs w:val="18"/>
      <w:lang w:val="en-GB"/>
    </w:rPr>
  </w:style>
  <w:style w:type="table" w:styleId="TableGridLight">
    <w:name w:val="Grid Table Light"/>
    <w:basedOn w:val="TableNormal"/>
    <w:uiPriority w:val="40"/>
    <w:rsid w:val="003E68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5FFC"/>
    <w:rPr>
      <w:color w:val="605E5C"/>
      <w:shd w:val="clear" w:color="auto" w:fill="E1DFDD"/>
    </w:rPr>
  </w:style>
  <w:style w:type="paragraph" w:styleId="Title">
    <w:name w:val="Title"/>
    <w:basedOn w:val="Normal"/>
    <w:next w:val="Normal"/>
    <w:link w:val="TitleChar"/>
    <w:uiPriority w:val="10"/>
    <w:qFormat/>
    <w:rsid w:val="568FBF53"/>
    <w:pPr>
      <w:contextualSpacing/>
    </w:pPr>
    <w:rPr>
      <w:rFonts w:asciiTheme="majorHAnsi" w:eastAsiaTheme="majorEastAsia" w:hAnsiTheme="majorHAnsi" w:cstheme="majorBidi"/>
      <w:sz w:val="56"/>
      <w:szCs w:val="56"/>
    </w:rPr>
  </w:style>
  <w:style w:type="paragraph" w:styleId="Quote">
    <w:name w:val="Quote"/>
    <w:basedOn w:val="Normal"/>
    <w:next w:val="Normal"/>
    <w:link w:val="QuoteChar"/>
    <w:uiPriority w:val="29"/>
    <w:qFormat/>
    <w:rsid w:val="568FBF5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68FBF53"/>
    <w:pPr>
      <w:spacing w:before="360" w:after="360"/>
      <w:ind w:left="864" w:right="864"/>
      <w:jc w:val="center"/>
    </w:pPr>
    <w:rPr>
      <w:i/>
      <w:iCs/>
      <w:color w:val="194869" w:themeColor="accent1"/>
    </w:rPr>
  </w:style>
  <w:style w:type="character" w:customStyle="1" w:styleId="Heading3Char">
    <w:name w:val="Heading 3 Char"/>
    <w:basedOn w:val="DefaultParagraphFont"/>
    <w:link w:val="Heading3"/>
    <w:uiPriority w:val="9"/>
    <w:rsid w:val="568FBF53"/>
    <w:rPr>
      <w:rFonts w:asciiTheme="majorHAnsi" w:eastAsiaTheme="majorEastAsia" w:hAnsiTheme="majorHAnsi" w:cstheme="majorBidi"/>
      <w:color w:val="0C2334" w:themeColor="accent1" w:themeShade="80"/>
    </w:rPr>
  </w:style>
  <w:style w:type="character" w:customStyle="1" w:styleId="Heading4Char">
    <w:name w:val="Heading 4 Char"/>
    <w:basedOn w:val="DefaultParagraphFont"/>
    <w:link w:val="Heading4"/>
    <w:uiPriority w:val="9"/>
    <w:rsid w:val="568FBF53"/>
    <w:rPr>
      <w:rFonts w:asciiTheme="majorHAnsi" w:eastAsiaTheme="majorEastAsia" w:hAnsiTheme="majorHAnsi" w:cstheme="majorBidi"/>
      <w:i/>
      <w:iCs/>
      <w:color w:val="12354E" w:themeColor="accent1" w:themeShade="BF"/>
    </w:rPr>
  </w:style>
  <w:style w:type="character" w:customStyle="1" w:styleId="Heading5Char">
    <w:name w:val="Heading 5 Char"/>
    <w:basedOn w:val="DefaultParagraphFont"/>
    <w:link w:val="Heading5"/>
    <w:uiPriority w:val="9"/>
    <w:rsid w:val="568FBF53"/>
    <w:rPr>
      <w:rFonts w:asciiTheme="majorHAnsi" w:eastAsiaTheme="majorEastAsia" w:hAnsiTheme="majorHAnsi" w:cstheme="majorBidi"/>
      <w:color w:val="12354E" w:themeColor="accent1" w:themeShade="BF"/>
    </w:rPr>
  </w:style>
  <w:style w:type="character" w:customStyle="1" w:styleId="Heading6Char">
    <w:name w:val="Heading 6 Char"/>
    <w:basedOn w:val="DefaultParagraphFont"/>
    <w:link w:val="Heading6"/>
    <w:uiPriority w:val="9"/>
    <w:rsid w:val="568FBF53"/>
    <w:rPr>
      <w:rFonts w:asciiTheme="majorHAnsi" w:eastAsiaTheme="majorEastAsia" w:hAnsiTheme="majorHAnsi" w:cstheme="majorBidi"/>
      <w:color w:val="0C2334" w:themeColor="accent1" w:themeShade="80"/>
    </w:rPr>
  </w:style>
  <w:style w:type="character" w:customStyle="1" w:styleId="Heading7Char">
    <w:name w:val="Heading 7 Char"/>
    <w:basedOn w:val="DefaultParagraphFont"/>
    <w:link w:val="Heading7"/>
    <w:uiPriority w:val="9"/>
    <w:rsid w:val="568FBF53"/>
    <w:rPr>
      <w:rFonts w:asciiTheme="majorHAnsi" w:eastAsiaTheme="majorEastAsia" w:hAnsiTheme="majorHAnsi" w:cstheme="majorBidi"/>
      <w:i/>
      <w:iCs/>
      <w:color w:val="0C2334" w:themeColor="accent1" w:themeShade="80"/>
    </w:rPr>
  </w:style>
  <w:style w:type="character" w:customStyle="1" w:styleId="Heading8Char">
    <w:name w:val="Heading 8 Char"/>
    <w:basedOn w:val="DefaultParagraphFont"/>
    <w:link w:val="Heading8"/>
    <w:uiPriority w:val="9"/>
    <w:rsid w:val="568FBF5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568FBF53"/>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568FBF53"/>
    <w:rPr>
      <w:rFonts w:asciiTheme="majorHAnsi" w:eastAsiaTheme="majorEastAsia" w:hAnsiTheme="majorHAnsi" w:cstheme="majorBidi"/>
      <w:noProof w:val="0"/>
      <w:sz w:val="56"/>
      <w:szCs w:val="56"/>
      <w:lang w:val="en-GB"/>
    </w:rPr>
  </w:style>
  <w:style w:type="character" w:customStyle="1" w:styleId="QuoteChar">
    <w:name w:val="Quote Char"/>
    <w:basedOn w:val="DefaultParagraphFont"/>
    <w:link w:val="Quote"/>
    <w:uiPriority w:val="29"/>
    <w:rsid w:val="568FBF53"/>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568FBF53"/>
    <w:rPr>
      <w:i/>
      <w:iCs/>
      <w:noProof w:val="0"/>
      <w:color w:val="194869" w:themeColor="accent1"/>
      <w:lang w:val="en-GB"/>
    </w:rPr>
  </w:style>
  <w:style w:type="paragraph" w:styleId="TOC1">
    <w:name w:val="toc 1"/>
    <w:basedOn w:val="Normal"/>
    <w:next w:val="Normal"/>
    <w:uiPriority w:val="39"/>
    <w:unhideWhenUsed/>
    <w:rsid w:val="568FBF53"/>
    <w:pPr>
      <w:spacing w:before="120"/>
    </w:pPr>
    <w:rPr>
      <w:rFonts w:cstheme="minorHAnsi"/>
      <w:b/>
      <w:bCs/>
      <w:i/>
      <w:iCs/>
      <w:szCs w:val="28"/>
    </w:rPr>
  </w:style>
  <w:style w:type="paragraph" w:styleId="TOC2">
    <w:name w:val="toc 2"/>
    <w:basedOn w:val="Normal"/>
    <w:next w:val="Normal"/>
    <w:uiPriority w:val="39"/>
    <w:unhideWhenUsed/>
    <w:rsid w:val="568FBF53"/>
    <w:pPr>
      <w:spacing w:before="120"/>
      <w:ind w:left="240"/>
    </w:pPr>
    <w:rPr>
      <w:rFonts w:cstheme="minorHAnsi"/>
      <w:b/>
      <w:bCs/>
      <w:sz w:val="22"/>
      <w:szCs w:val="26"/>
    </w:rPr>
  </w:style>
  <w:style w:type="paragraph" w:styleId="TOC3">
    <w:name w:val="toc 3"/>
    <w:basedOn w:val="Normal"/>
    <w:next w:val="Normal"/>
    <w:uiPriority w:val="39"/>
    <w:unhideWhenUsed/>
    <w:rsid w:val="568FBF53"/>
    <w:pPr>
      <w:ind w:left="480"/>
    </w:pPr>
    <w:rPr>
      <w:rFonts w:cstheme="minorHAnsi"/>
      <w:sz w:val="20"/>
    </w:rPr>
  </w:style>
  <w:style w:type="paragraph" w:styleId="TOC4">
    <w:name w:val="toc 4"/>
    <w:basedOn w:val="Normal"/>
    <w:next w:val="Normal"/>
    <w:uiPriority w:val="39"/>
    <w:unhideWhenUsed/>
    <w:rsid w:val="568FBF53"/>
    <w:pPr>
      <w:ind w:left="720"/>
    </w:pPr>
    <w:rPr>
      <w:rFonts w:cstheme="minorHAnsi"/>
      <w:sz w:val="20"/>
    </w:rPr>
  </w:style>
  <w:style w:type="paragraph" w:styleId="TOC5">
    <w:name w:val="toc 5"/>
    <w:basedOn w:val="Normal"/>
    <w:next w:val="Normal"/>
    <w:uiPriority w:val="39"/>
    <w:unhideWhenUsed/>
    <w:rsid w:val="568FBF53"/>
    <w:pPr>
      <w:ind w:left="960"/>
    </w:pPr>
    <w:rPr>
      <w:rFonts w:cstheme="minorHAnsi"/>
      <w:sz w:val="20"/>
    </w:rPr>
  </w:style>
  <w:style w:type="paragraph" w:styleId="TOC6">
    <w:name w:val="toc 6"/>
    <w:basedOn w:val="Normal"/>
    <w:next w:val="Normal"/>
    <w:uiPriority w:val="39"/>
    <w:unhideWhenUsed/>
    <w:rsid w:val="568FBF53"/>
    <w:pPr>
      <w:ind w:left="1200"/>
    </w:pPr>
    <w:rPr>
      <w:rFonts w:cstheme="minorHAnsi"/>
      <w:sz w:val="20"/>
    </w:rPr>
  </w:style>
  <w:style w:type="paragraph" w:styleId="TOC7">
    <w:name w:val="toc 7"/>
    <w:basedOn w:val="Normal"/>
    <w:next w:val="Normal"/>
    <w:uiPriority w:val="39"/>
    <w:unhideWhenUsed/>
    <w:rsid w:val="568FBF53"/>
    <w:pPr>
      <w:ind w:left="1440"/>
    </w:pPr>
    <w:rPr>
      <w:rFonts w:cstheme="minorHAnsi"/>
      <w:sz w:val="20"/>
    </w:rPr>
  </w:style>
  <w:style w:type="paragraph" w:styleId="TOC8">
    <w:name w:val="toc 8"/>
    <w:basedOn w:val="Normal"/>
    <w:next w:val="Normal"/>
    <w:uiPriority w:val="39"/>
    <w:unhideWhenUsed/>
    <w:rsid w:val="568FBF53"/>
    <w:pPr>
      <w:ind w:left="1680"/>
    </w:pPr>
    <w:rPr>
      <w:rFonts w:cstheme="minorHAnsi"/>
      <w:sz w:val="20"/>
    </w:rPr>
  </w:style>
  <w:style w:type="paragraph" w:styleId="TOC9">
    <w:name w:val="toc 9"/>
    <w:basedOn w:val="Normal"/>
    <w:next w:val="Normal"/>
    <w:uiPriority w:val="39"/>
    <w:unhideWhenUsed/>
    <w:rsid w:val="568FBF53"/>
    <w:pPr>
      <w:ind w:left="1920"/>
    </w:pPr>
    <w:rPr>
      <w:rFonts w:cstheme="minorHAnsi"/>
      <w:sz w:val="20"/>
    </w:rPr>
  </w:style>
  <w:style w:type="paragraph" w:styleId="EndnoteText">
    <w:name w:val="endnote text"/>
    <w:basedOn w:val="Normal"/>
    <w:link w:val="EndnoteTextChar"/>
    <w:uiPriority w:val="99"/>
    <w:semiHidden/>
    <w:unhideWhenUsed/>
    <w:rsid w:val="568FBF53"/>
    <w:rPr>
      <w:sz w:val="20"/>
      <w:szCs w:val="20"/>
    </w:rPr>
  </w:style>
  <w:style w:type="character" w:customStyle="1" w:styleId="EndnoteTextChar">
    <w:name w:val="Endnote Text Char"/>
    <w:basedOn w:val="DefaultParagraphFont"/>
    <w:link w:val="EndnoteText"/>
    <w:uiPriority w:val="99"/>
    <w:semiHidden/>
    <w:rsid w:val="568FBF53"/>
    <w:rPr>
      <w:noProof w:val="0"/>
      <w:sz w:val="20"/>
      <w:szCs w:val="20"/>
      <w:lang w:val="en-GB"/>
    </w:rPr>
  </w:style>
  <w:style w:type="paragraph" w:styleId="Revision">
    <w:name w:val="Revision"/>
    <w:hidden/>
    <w:uiPriority w:val="99"/>
    <w:semiHidden/>
    <w:rsid w:val="007D6B5E"/>
  </w:style>
  <w:style w:type="paragraph" w:styleId="Caption">
    <w:name w:val="caption"/>
    <w:basedOn w:val="Normal"/>
    <w:next w:val="Normal"/>
    <w:uiPriority w:val="35"/>
    <w:unhideWhenUsed/>
    <w:qFormat/>
    <w:rsid w:val="00792B90"/>
    <w:pPr>
      <w:spacing w:after="200"/>
    </w:pPr>
    <w:rPr>
      <w:i/>
      <w:iCs/>
      <w:color w:val="44546A" w:themeColor="text2"/>
      <w:sz w:val="18"/>
      <w:szCs w:val="18"/>
    </w:rPr>
  </w:style>
  <w:style w:type="table" w:customStyle="1" w:styleId="TableGrid1">
    <w:name w:val="Table Grid1"/>
    <w:basedOn w:val="TableNormal"/>
    <w:next w:val="TableGrid"/>
    <w:uiPriority w:val="39"/>
    <w:rsid w:val="000278CB"/>
    <w:rPr>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6EE9"/>
    <w:pPr>
      <w:keepNext/>
      <w:keepLines/>
      <w:numPr>
        <w:numId w:val="0"/>
      </w:numPr>
      <w:spacing w:before="480" w:after="0" w:line="276" w:lineRule="auto"/>
      <w:outlineLvl w:val="9"/>
    </w:pPr>
    <w:rPr>
      <w:rFonts w:asciiTheme="majorHAnsi" w:eastAsiaTheme="majorEastAsia" w:hAnsiTheme="majorHAnsi" w:cstheme="majorBidi"/>
      <w:color w:val="12354E"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9814">
      <w:bodyDiv w:val="1"/>
      <w:marLeft w:val="0"/>
      <w:marRight w:val="0"/>
      <w:marTop w:val="0"/>
      <w:marBottom w:val="0"/>
      <w:divBdr>
        <w:top w:val="none" w:sz="0" w:space="0" w:color="auto"/>
        <w:left w:val="none" w:sz="0" w:space="0" w:color="auto"/>
        <w:bottom w:val="none" w:sz="0" w:space="0" w:color="auto"/>
        <w:right w:val="none" w:sz="0" w:space="0" w:color="auto"/>
      </w:divBdr>
    </w:div>
    <w:div w:id="13725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300"/>
</w:webSettings>
</file>

<file path=word/_rels/document.xml.rels><?xml version="1.0" encoding="UTF-8" standalone="yes"?>
<Relationships xmlns="http://schemas.openxmlformats.org/package/2006/relationships"><Relationship Id="rId13" Type="http://schemas.openxmlformats.org/officeDocument/2006/relationships/hyperlink" Target="https://iwrmdataportal.unepdhi.org/data-collection" TargetMode="External"/><Relationship Id="rId18" Type="http://schemas.openxmlformats.org/officeDocument/2006/relationships/hyperlink" Target="https://iwrmdataportal.unepdhi.org/data-collection" TargetMode="External"/><Relationship Id="rId26" Type="http://schemas.openxmlformats.org/officeDocument/2006/relationships/hyperlink" Target="mailto:sdg6iwrmsp@gwp.org" TargetMode="External"/><Relationship Id="rId39" Type="http://schemas.openxmlformats.org/officeDocument/2006/relationships/hyperlink" Target="https://www.sdg6monitoring.org/indicators/target-66/" TargetMode="External"/><Relationship Id="rId21" Type="http://schemas.openxmlformats.org/officeDocument/2006/relationships/hyperlink" Target="mailto:iwrmsdg651@un.org" TargetMode="External"/><Relationship Id="rId34" Type="http://schemas.openxmlformats.org/officeDocument/2006/relationships/hyperlink" Target="https://www.sdg6monitoring.org/indicators/target-6b/"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water.org/our-work/integrated-monitoring-initiative-sdg-6" TargetMode="External"/><Relationship Id="rId29" Type="http://schemas.openxmlformats.org/officeDocument/2006/relationships/hyperlink" Target="https://unstats.un.org/sd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wp.org/en/sdg6support/iwrm-support/stage-2-formulating-responses/stage-2-support/" TargetMode="External"/><Relationship Id="rId32" Type="http://schemas.openxmlformats.org/officeDocument/2006/relationships/hyperlink" Target="https://cap-net.org/sdg-6-iwrm-support-program/" TargetMode="External"/><Relationship Id="rId37" Type="http://schemas.openxmlformats.org/officeDocument/2006/relationships/hyperlink" Target="https://www.sdg6monitoring.org/indicators/target-64/" TargetMode="External"/><Relationship Id="rId40" Type="http://schemas.openxmlformats.org/officeDocument/2006/relationships/hyperlink" Target="https://www.preventionweb.net/sendai-framework/Integrated%20monitoring%20of%20the%20global%20targets%20of%20the%20Sendai%20Framework%20and%20the%20Sustainable%20Development%20Goal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wp.org/en/sdg6support/iwrm-support/stage-1-identifying-challenges/stage-1-support/" TargetMode="External"/><Relationship Id="rId23" Type="http://schemas.openxmlformats.org/officeDocument/2006/relationships/hyperlink" Target="http://iwrmdataportal.unepdhi.org/country-reports" TargetMode="External"/><Relationship Id="rId28" Type="http://schemas.openxmlformats.org/officeDocument/2006/relationships/hyperlink" Target="http://iwrmdataportal.unepdhi.org/" TargetMode="External"/><Relationship Id="rId36" Type="http://schemas.openxmlformats.org/officeDocument/2006/relationships/hyperlink" Target="https://sdgs.un.org/goals/goal5" TargetMode="External"/><Relationship Id="rId10" Type="http://schemas.openxmlformats.org/officeDocument/2006/relationships/endnotes" Target="endnotes.xml"/><Relationship Id="rId19" Type="http://schemas.openxmlformats.org/officeDocument/2006/relationships/hyperlink" Target="https://iwrmdataportal.unepdhi.org/country-reports" TargetMode="External"/><Relationship Id="rId31" Type="http://schemas.openxmlformats.org/officeDocument/2006/relationships/hyperlink" Target="https://iwrmdataportal.unepdhi.org/country-repor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wrmsdg651@un.org" TargetMode="External"/><Relationship Id="rId22" Type="http://schemas.openxmlformats.org/officeDocument/2006/relationships/image" Target="media/image3.png"/><Relationship Id="rId27" Type="http://schemas.openxmlformats.org/officeDocument/2006/relationships/hyperlink" Target="https://iwrmdataportal.unepdhi.org/publications/iwrm-action-plans" TargetMode="External"/><Relationship Id="rId30" Type="http://schemas.openxmlformats.org/officeDocument/2006/relationships/hyperlink" Target="https://iwrmdataportal.unepdhi.org/data-collection" TargetMode="External"/><Relationship Id="rId35" Type="http://schemas.openxmlformats.org/officeDocument/2006/relationships/hyperlink" Target="https://glaas.who.int/"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iwrmsdg651@un.org" TargetMode="External"/><Relationship Id="rId25" Type="http://schemas.openxmlformats.org/officeDocument/2006/relationships/hyperlink" Target="https://www.gwp.org/en/sdg6support/iwrm-support/stage-3-implementing-solutions/stage-3-support/" TargetMode="External"/><Relationship Id="rId33" Type="http://schemas.openxmlformats.org/officeDocument/2006/relationships/hyperlink" Target="https://www.unesco.org/en/ihp/transboundary-water-cooperation-reporting" TargetMode="External"/><Relationship Id="rId38" Type="http://schemas.openxmlformats.org/officeDocument/2006/relationships/hyperlink" Target="https://www.sdg6monitoring.org/indicators/target-63/" TargetMode="External"/><Relationship Id="rId20" Type="http://schemas.openxmlformats.org/officeDocument/2006/relationships/hyperlink" Target="https://cap-net.org/sdg-6-iwrm-support-program/"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sdgs/meta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IWRM Colors">
      <a:dk1>
        <a:srgbClr val="000000"/>
      </a:dk1>
      <a:lt1>
        <a:srgbClr val="FFFFFF"/>
      </a:lt1>
      <a:dk2>
        <a:srgbClr val="44546A"/>
      </a:dk2>
      <a:lt2>
        <a:srgbClr val="E7E6E6"/>
      </a:lt2>
      <a:accent1>
        <a:srgbClr val="194869"/>
      </a:accent1>
      <a:accent2>
        <a:srgbClr val="20A6CA"/>
      </a:accent2>
      <a:accent3>
        <a:srgbClr val="02A093"/>
      </a:accent3>
      <a:accent4>
        <a:srgbClr val="4EB3B9"/>
      </a:accent4>
      <a:accent5>
        <a:srgbClr val="F1883C"/>
      </a:accent5>
      <a:accent6>
        <a:srgbClr val="F39371"/>
      </a:accent6>
      <a:hlink>
        <a:srgbClr val="8EC044"/>
      </a:hlink>
      <a:folHlink>
        <a:srgbClr val="02615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903724-28f5-48bb-9c71-b0ec8b148fe0" xsi:nil="true"/>
    <lcf76f155ced4ddcb4097134ff3c332f xmlns="da6fb1b6-4ee2-40fb-bb3b-74c8d3b07269">
      <Terms xmlns="http://schemas.microsoft.com/office/infopath/2007/PartnerControls"/>
    </lcf76f155ced4ddcb4097134ff3c332f>
    <k4ba791d09a440aba63648a4fa83da7e xmlns="13903724-28f5-48bb-9c71-b0ec8b148fe0">
      <Terms xmlns="http://schemas.microsoft.com/office/infopath/2007/PartnerControls"/>
    </k4ba791d09a440aba63648a4fa83da7e>
    <n2755ad5c18e49c7adbfdd598b931bcc xmlns="13903724-28f5-48bb-9c71-b0ec8b148fe0">
      <Terms xmlns="http://schemas.microsoft.com/office/infopath/2007/PartnerControls"/>
    </n2755ad5c18e49c7adbfdd598b931bcc>
    <DHIDateCreated xmlns="13903724-28f5-48bb-9c71-b0ec8b148fe0" xsi:nil="true"/>
    <DHIPublication xmlns="13903724-28f5-48bb-9c71-b0ec8b148fe0" xsi:nil="true"/>
    <b282f493e26e4ef1a208c9a49b9311f3 xmlns="13903724-28f5-48bb-9c71-b0ec8b148fe0">
      <Terms xmlns="http://schemas.microsoft.com/office/infopath/2007/PartnerControls"/>
    </b282f493e26e4ef1a208c9a49b9311f3>
    <DHIReviewLink xmlns="13903724-28f5-48bb-9c71-b0ec8b148fe0">
      <Url xsi:nil="true"/>
      <Description xsi:nil="true"/>
    </DHIReviewLink>
    <DHIManagementApprovalLink xmlns="13903724-28f5-48bb-9c71-b0ec8b148fe0">
      <Url xsi:nil="true"/>
      <Description xsi:nil="true"/>
    </DHIManagementApprovalLink>
    <e8bce870359e4a09862e3b9640f665e6 xmlns="13903724-28f5-48bb-9c71-b0ec8b148fe0">
      <Terms xmlns="http://schemas.microsoft.com/office/infopath/2007/PartnerControls"/>
    </e8bce870359e4a09862e3b9640f665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HI Document" ma:contentTypeID="0x010100662C79DA35A2284584E29B1E84C9C8C700249DDBCB99AB314F859551F107D2B961" ma:contentTypeVersion="29" ma:contentTypeDescription="Create a new document." ma:contentTypeScope="" ma:versionID="7388a0b0de2a29e19c04b7b1047bb662">
  <xsd:schema xmlns:xsd="http://www.w3.org/2001/XMLSchema" xmlns:xs="http://www.w3.org/2001/XMLSchema" xmlns:p="http://schemas.microsoft.com/office/2006/metadata/properties" xmlns:ns2="13903724-28f5-48bb-9c71-b0ec8b148fe0" xmlns:ns3="13903724-28f5-48bb-9c71-b0ec8b148fe0" xmlns:ns4="da6fb1b6-4ee2-40fb-bb3b-74c8d3b07269" targetNamespace="http://schemas.microsoft.com/office/2006/metadata/properties" ma:root="true" ma:fieldsID="074fc17ad7586c018a480d22e8adb5c3" ns3:_="" ns4:_="">
    <xsd:import namespace="13903724-28f5-48bb-9c71-b0ec8b148fe0"/>
    <xsd:import namespace="13903724-28f5-48bb-9c71-b0ec8b148fe0"/>
    <xsd:import namespace="da6fb1b6-4ee2-40fb-bb3b-74c8d3b07269"/>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element ref="ns2:SharedWithUsers" minOccurs="0"/>
                <xsd:element ref="ns2:SharedWithDetail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03724-28f5-48bb-9c71-b0ec8b148f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01673a-fca3-46f3-b8d0-63933d2703a0}" ma:internalName="TaxCatchAll" ma:showField="CatchAllData" ma:web="13903724-28f5-48bb-9c71-b0ec8b148f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801673a-fca3-46f3-b8d0-63933d2703a0}" ma:internalName="TaxCatchAllLabel" ma:readOnly="true" ma:showField="CatchAllDataLabel" ma:web="13903724-28f5-48bb-9c71-b0ec8b148f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903724-28f5-48bb-9c71-b0ec8b148fe0"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6fb1b6-4ee2-40fb-bb3b-74c8d3b072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cc1a1f7-5d9d-487e-9c70-c04623747153"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AD4B9-EB4D-42B0-86D0-D4FCA36EB75C}">
  <ds:schemaRefs>
    <ds:schemaRef ds:uri="http://schemas.microsoft.com/office/2006/metadata/properties"/>
    <ds:schemaRef ds:uri="http://schemas.microsoft.com/office/infopath/2007/PartnerControls"/>
    <ds:schemaRef ds:uri="13903724-28f5-48bb-9c71-b0ec8b148fe0"/>
    <ds:schemaRef ds:uri="da6fb1b6-4ee2-40fb-bb3b-74c8d3b07269"/>
  </ds:schemaRefs>
</ds:datastoreItem>
</file>

<file path=customXml/itemProps2.xml><?xml version="1.0" encoding="utf-8"?>
<ds:datastoreItem xmlns:ds="http://schemas.openxmlformats.org/officeDocument/2006/customXml" ds:itemID="{3B3BAE21-D7A3-452A-A6A0-126F8D8DF3E8}">
  <ds:schemaRefs>
    <ds:schemaRef ds:uri="http://schemas.microsoft.com/sharepoint/v3/contenttype/forms"/>
  </ds:schemaRefs>
</ds:datastoreItem>
</file>

<file path=customXml/itemProps3.xml><?xml version="1.0" encoding="utf-8"?>
<ds:datastoreItem xmlns:ds="http://schemas.openxmlformats.org/officeDocument/2006/customXml" ds:itemID="{C586AB1F-7C52-4752-8B27-CCEA6581D662}">
  <ds:schemaRefs>
    <ds:schemaRef ds:uri="http://schemas.openxmlformats.org/officeDocument/2006/bibliography"/>
  </ds:schemaRefs>
</ds:datastoreItem>
</file>

<file path=customXml/itemProps4.xml><?xml version="1.0" encoding="utf-8"?>
<ds:datastoreItem xmlns:ds="http://schemas.openxmlformats.org/officeDocument/2006/customXml" ds:itemID="{2205AAA9-28F4-45D3-B26B-8895DF02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03724-28f5-48bb-9c71-b0ec8b148fe0"/>
    <ds:schemaRef ds:uri="da6fb1b6-4ee2-40fb-bb3b-74c8d3b07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3951</Words>
  <Characters>21381</Characters>
  <Application>Microsoft Office Word</Application>
  <DocSecurity>0</DocSecurity>
  <Lines>521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 Jowahir</dc:creator>
  <cp:keywords/>
  <dc:description/>
  <cp:lastModifiedBy>Isis Oliver</cp:lastModifiedBy>
  <cp:revision>546</cp:revision>
  <dcterms:created xsi:type="dcterms:W3CDTF">2023-04-11T09:05:00Z</dcterms:created>
  <dcterms:modified xsi:type="dcterms:W3CDTF">2026-02-26T12:56:00Z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0x010100662C79DA35A2284584E29B1E84C9C8C700249DDBCB99AB314F859551F107D2B961</vt:lpwstr>
  </property>
  <property fmtid="{D5CDD505-2E9C-101B-9397-08002B2CF9AE}" pid="3" name="MediaServiceImageTags">
    <vt:lpwstr/>
  </property>
  <property fmtid="{D5CDD505-2E9C-101B-9397-08002B2CF9AE}" pid="4" name="DHIAuthor">
    <vt:lpwstr/>
  </property>
  <property fmtid="{D5CDD505-2E9C-101B-9397-08002B2CF9AE}" pid="5" name="DHIArea">
    <vt:lpwstr/>
  </property>
  <property fmtid="{D5CDD505-2E9C-101B-9397-08002B2CF9AE}" pid="6" name="DHICategory">
    <vt:lpwstr/>
  </property>
  <property fmtid="{D5CDD505-2E9C-101B-9397-08002B2CF9AE}" pid="7" name="DHIKeywords">
    <vt:lpwstr/>
  </property>
  <property fmtid="{D5CDD505-2E9C-101B-9397-08002B2CF9AE}" pid="8" name="docLang">
    <vt:lpwstr>en</vt:lpwstr>
  </property>
</Properties>
</file>